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950"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t>Afghanistan</w:t>
      </w:r>
      <w:r w:rsidR="00D7287B" w:rsidRPr="00F62BA4">
        <w:rPr>
          <w:rFonts w:ascii="Times New Roman" w:hAnsi="Times New Roman" w:cs="Times New Roman"/>
          <w:b/>
          <w:sz w:val="24"/>
          <w:szCs w:val="24"/>
        </w:rPr>
        <w:t xml:space="preserve"> (1978-1992)</w:t>
      </w:r>
    </w:p>
    <w:p w:rsidR="00D7287B" w:rsidRPr="00F62BA4" w:rsidRDefault="00D7287B" w:rsidP="00D7287B">
      <w:pPr>
        <w:rPr>
          <w:rFonts w:ascii="Times New Roman" w:hAnsi="Times New Roman" w:cs="Times New Roman"/>
          <w:sz w:val="24"/>
          <w:szCs w:val="24"/>
        </w:rPr>
      </w:pPr>
      <w:r w:rsidRPr="00F62BA4">
        <w:rPr>
          <w:rFonts w:ascii="Times New Roman" w:hAnsi="Times New Roman" w:cs="Times New Roman"/>
          <w:sz w:val="24"/>
          <w:szCs w:val="24"/>
        </w:rPr>
        <w:t>Rebels / Incumbents:</w:t>
      </w:r>
      <w:r w:rsidR="00571C8E" w:rsidRPr="00F62BA4">
        <w:rPr>
          <w:rFonts w:ascii="Times New Roman" w:hAnsi="Times New Roman" w:cs="Times New Roman"/>
          <w:sz w:val="24"/>
          <w:szCs w:val="24"/>
        </w:rPr>
        <w:t xml:space="preserve"> Several (Sunni and Shia Mujahedeen</w:t>
      </w:r>
      <w:r w:rsidR="00855126" w:rsidRPr="00F62BA4">
        <w:rPr>
          <w:rFonts w:ascii="Times New Roman" w:hAnsi="Times New Roman" w:cs="Times New Roman"/>
          <w:sz w:val="24"/>
          <w:szCs w:val="24"/>
        </w:rPr>
        <w:t xml:space="preserve"> parties and militias</w:t>
      </w:r>
      <w:r w:rsidR="00571C8E" w:rsidRPr="00F62BA4">
        <w:rPr>
          <w:rFonts w:ascii="Times New Roman" w:hAnsi="Times New Roman" w:cs="Times New Roman"/>
          <w:sz w:val="24"/>
          <w:szCs w:val="24"/>
        </w:rPr>
        <w:t>)</w:t>
      </w:r>
      <w:r w:rsidR="00BC38A0" w:rsidRPr="00F62BA4">
        <w:rPr>
          <w:rStyle w:val="FootnoteReference"/>
          <w:rFonts w:ascii="Times New Roman" w:hAnsi="Times New Roman" w:cs="Times New Roman"/>
          <w:sz w:val="24"/>
          <w:szCs w:val="24"/>
        </w:rPr>
        <w:footnoteReference w:id="1"/>
      </w:r>
      <w:r w:rsidRPr="00F62BA4">
        <w:rPr>
          <w:rFonts w:ascii="Times New Roman" w:hAnsi="Times New Roman" w:cs="Times New Roman"/>
          <w:sz w:val="24"/>
          <w:szCs w:val="24"/>
        </w:rPr>
        <w:t xml:space="preserve"> </w:t>
      </w:r>
      <w:r w:rsidR="002743FD" w:rsidRPr="00F62BA4">
        <w:rPr>
          <w:rFonts w:ascii="Times New Roman" w:hAnsi="Times New Roman" w:cs="Times New Roman"/>
          <w:sz w:val="24"/>
          <w:szCs w:val="24"/>
        </w:rPr>
        <w:t>/ Democratic Republic of Afghanistan (and the People’s Democratic Party of Afghanistan)</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w:t>
      </w:r>
      <w:r w:rsidR="00CC37C8">
        <w:rPr>
          <w:rFonts w:ascii="Times New Roman" w:hAnsi="Times New Roman" w:cs="Times New Roman"/>
          <w:b/>
          <w:sz w:val="24"/>
          <w:szCs w:val="24"/>
        </w:rPr>
        <w:t>1</w:t>
      </w:r>
      <w:r w:rsidR="00490AF3"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2743FD" w:rsidRPr="00F62BA4" w:rsidRDefault="002743FD" w:rsidP="00D7287B">
      <w:pPr>
        <w:rPr>
          <w:rFonts w:ascii="Times New Roman" w:hAnsi="Times New Roman" w:cs="Times New Roman"/>
          <w:sz w:val="24"/>
          <w:szCs w:val="24"/>
        </w:rPr>
      </w:pPr>
      <w:r w:rsidRPr="00F62BA4">
        <w:rPr>
          <w:rFonts w:ascii="Times New Roman" w:hAnsi="Times New Roman" w:cs="Times New Roman"/>
          <w:sz w:val="24"/>
          <w:szCs w:val="24"/>
        </w:rPr>
        <w:tab/>
        <w:t>The fi</w:t>
      </w:r>
      <w:r w:rsidR="00571C8E" w:rsidRPr="00F62BA4">
        <w:rPr>
          <w:rFonts w:ascii="Times New Roman" w:hAnsi="Times New Roman" w:cs="Times New Roman"/>
          <w:sz w:val="24"/>
          <w:szCs w:val="24"/>
        </w:rPr>
        <w:t>rst of Afghanistan’s civil wars to fall within the timeline of the dataset began in April of 1978 with a bloody coup d’état perpetrated by USSR-backed Afghan Communists against president</w:t>
      </w:r>
      <w:r w:rsidR="00571C8E" w:rsidRPr="00F62BA4">
        <w:rPr>
          <w:sz w:val="24"/>
          <w:szCs w:val="24"/>
        </w:rPr>
        <w:t xml:space="preserve"> </w:t>
      </w:r>
      <w:r w:rsidR="008020BC" w:rsidRPr="00F62BA4">
        <w:rPr>
          <w:rFonts w:ascii="Times New Roman" w:hAnsi="Times New Roman" w:cs="Times New Roman"/>
          <w:sz w:val="24"/>
          <w:szCs w:val="24"/>
        </w:rPr>
        <w:t>Mohammed Daoud Khan,</w:t>
      </w:r>
      <w:r w:rsidR="00571C8E" w:rsidRPr="00F62BA4">
        <w:rPr>
          <w:rFonts w:ascii="Times New Roman" w:hAnsi="Times New Roman" w:cs="Times New Roman"/>
          <w:sz w:val="24"/>
          <w:szCs w:val="24"/>
        </w:rPr>
        <w:t xml:space="preserve"> who had been a vocal proponent of reducing Soviet influence in the country and returning it</w:t>
      </w:r>
      <w:r w:rsidR="008020BC" w:rsidRPr="00F62BA4">
        <w:rPr>
          <w:rFonts w:ascii="Times New Roman" w:hAnsi="Times New Roman" w:cs="Times New Roman"/>
          <w:sz w:val="24"/>
          <w:szCs w:val="24"/>
        </w:rPr>
        <w:t xml:space="preserve"> to genuine non-aligned status</w:t>
      </w:r>
      <w:r w:rsidR="00571C8E" w:rsidRPr="00F62BA4">
        <w:rPr>
          <w:rFonts w:ascii="Times New Roman" w:hAnsi="Times New Roman" w:cs="Times New Roman"/>
          <w:sz w:val="24"/>
          <w:szCs w:val="24"/>
        </w:rPr>
        <w:t>.</w:t>
      </w:r>
      <w:r w:rsidR="00571C8E" w:rsidRPr="00F62BA4">
        <w:rPr>
          <w:rStyle w:val="FootnoteReference"/>
          <w:rFonts w:ascii="Times New Roman" w:hAnsi="Times New Roman" w:cs="Times New Roman"/>
          <w:sz w:val="24"/>
          <w:szCs w:val="24"/>
        </w:rPr>
        <w:footnoteReference w:id="2"/>
      </w:r>
      <w:r w:rsidR="008020BC" w:rsidRPr="00F62BA4">
        <w:rPr>
          <w:rFonts w:ascii="Times New Roman" w:hAnsi="Times New Roman" w:cs="Times New Roman"/>
          <w:sz w:val="24"/>
          <w:szCs w:val="24"/>
        </w:rPr>
        <w:t xml:space="preserve"> The resultant Democratic Republic of Afghanistan (DRA) would be dissolved at war’s end, but the disparate nature of the resistance to the new regime (among other things) made large-scale governance projects remarkably difficult.</w:t>
      </w:r>
    </w:p>
    <w:p w:rsidR="008020BC" w:rsidRDefault="008020BC" w:rsidP="00D7287B">
      <w:pPr>
        <w:rPr>
          <w:rFonts w:ascii="Times New Roman" w:hAnsi="Times New Roman" w:cs="Times New Roman"/>
          <w:sz w:val="24"/>
          <w:szCs w:val="24"/>
        </w:rPr>
      </w:pPr>
      <w:r w:rsidRPr="00F62BA4">
        <w:rPr>
          <w:rFonts w:ascii="Times New Roman" w:hAnsi="Times New Roman" w:cs="Times New Roman"/>
          <w:sz w:val="24"/>
          <w:szCs w:val="24"/>
        </w:rPr>
        <w:tab/>
      </w:r>
      <w:r w:rsidR="007A79F5" w:rsidRPr="00F62BA4">
        <w:rPr>
          <w:rFonts w:ascii="Times New Roman" w:hAnsi="Times New Roman" w:cs="Times New Roman"/>
          <w:sz w:val="24"/>
          <w:szCs w:val="24"/>
        </w:rPr>
        <w:t>For both incumbent and rebel, there was a profound lack of unity, both along ethnic and religious lines.</w:t>
      </w:r>
      <w:r w:rsidR="007A79F5" w:rsidRPr="00F62BA4">
        <w:rPr>
          <w:rStyle w:val="FootnoteReference"/>
          <w:rFonts w:ascii="Times New Roman" w:hAnsi="Times New Roman" w:cs="Times New Roman"/>
          <w:sz w:val="24"/>
          <w:szCs w:val="24"/>
        </w:rPr>
        <w:footnoteReference w:id="3"/>
      </w:r>
      <w:r w:rsidR="007A79F5" w:rsidRPr="00F62BA4">
        <w:rPr>
          <w:rFonts w:ascii="Times New Roman" w:hAnsi="Times New Roman" w:cs="Times New Roman"/>
          <w:sz w:val="24"/>
          <w:szCs w:val="24"/>
        </w:rPr>
        <w:t xml:space="preserve"> </w:t>
      </w:r>
      <w:r w:rsidR="003921EE" w:rsidRPr="00F62BA4">
        <w:rPr>
          <w:rFonts w:ascii="Times New Roman" w:hAnsi="Times New Roman" w:cs="Times New Roman"/>
          <w:sz w:val="24"/>
          <w:szCs w:val="24"/>
        </w:rPr>
        <w:t xml:space="preserve">In spite of this, regional powers asserted some degree of control after the Soviet withdrawal. Outside the capital Kabul (one of the few areas where </w:t>
      </w:r>
      <w:r w:rsidR="00BC38A0" w:rsidRPr="00F62BA4">
        <w:rPr>
          <w:rFonts w:ascii="Times New Roman" w:hAnsi="Times New Roman" w:cs="Times New Roman"/>
          <w:sz w:val="24"/>
          <w:szCs w:val="24"/>
        </w:rPr>
        <w:t xml:space="preserve">Mohammad </w:t>
      </w:r>
      <w:r w:rsidR="003921EE" w:rsidRPr="00F62BA4">
        <w:rPr>
          <w:rFonts w:ascii="Times New Roman" w:hAnsi="Times New Roman" w:cs="Times New Roman"/>
          <w:sz w:val="24"/>
          <w:szCs w:val="24"/>
        </w:rPr>
        <w:t xml:space="preserve">Najibullah’s incumbent government maintained control), five </w:t>
      </w:r>
      <w:r w:rsidR="001D5DC1" w:rsidRPr="00F62BA4">
        <w:rPr>
          <w:rFonts w:ascii="Times New Roman" w:hAnsi="Times New Roman" w:cs="Times New Roman"/>
          <w:sz w:val="24"/>
          <w:szCs w:val="24"/>
        </w:rPr>
        <w:t>warlords maintained territory throughout the countryside. In spite of this, no governance outcomes could emerge; what paper institutions did emerge provided no benefits and were popularly disregarded and</w:t>
      </w:r>
      <w:r w:rsidR="00777709" w:rsidRPr="00F62BA4">
        <w:rPr>
          <w:rFonts w:ascii="Times New Roman" w:hAnsi="Times New Roman" w:cs="Times New Roman"/>
          <w:sz w:val="24"/>
          <w:szCs w:val="24"/>
        </w:rPr>
        <w:t xml:space="preserve"> those were few and far between, in spite of efforts to encourage political development within the militias themselves on the part of the government.</w:t>
      </w:r>
      <w:r w:rsidR="00777709" w:rsidRPr="00F62BA4">
        <w:rPr>
          <w:rStyle w:val="FootnoteReference"/>
          <w:rFonts w:ascii="Times New Roman" w:hAnsi="Times New Roman" w:cs="Times New Roman"/>
          <w:sz w:val="24"/>
          <w:szCs w:val="24"/>
        </w:rPr>
        <w:footnoteReference w:id="4"/>
      </w:r>
      <w:r w:rsidR="00921073" w:rsidRPr="00F62BA4">
        <w:rPr>
          <w:rFonts w:ascii="Times New Roman" w:hAnsi="Times New Roman" w:cs="Times New Roman"/>
          <w:sz w:val="24"/>
          <w:szCs w:val="24"/>
        </w:rPr>
        <w:t xml:space="preserve"> </w:t>
      </w:r>
    </w:p>
    <w:p w:rsidR="00CC37C8" w:rsidRDefault="002B4254" w:rsidP="00D7287B">
      <w:pPr>
        <w:rPr>
          <w:rFonts w:ascii="Times New Roman" w:hAnsi="Times New Roman" w:cs="Times New Roman"/>
          <w:b/>
          <w:bCs/>
          <w:sz w:val="24"/>
          <w:szCs w:val="24"/>
        </w:rPr>
      </w:pPr>
      <w:r>
        <w:rPr>
          <w:rFonts w:ascii="Times New Roman" w:hAnsi="Times New Roman" w:cs="Times New Roman"/>
          <w:sz w:val="24"/>
          <w:szCs w:val="24"/>
        </w:rPr>
        <w:tab/>
        <w:t xml:space="preserve">Ahmad Shah Massoud was able to develop an administrative apparatus (dubbed the Supervisory Council of the North) in his controlled territory in Afghanistan’s northern and western frontiers. There is substantial disagreement regarding how effective these efforts were, though. </w:t>
      </w:r>
      <w:r w:rsidR="00CC37C8">
        <w:rPr>
          <w:rFonts w:ascii="Times New Roman" w:hAnsi="Times New Roman" w:cs="Times New Roman"/>
          <w:sz w:val="24"/>
          <w:szCs w:val="24"/>
        </w:rPr>
        <w:t xml:space="preserve">While the SCN </w:t>
      </w:r>
      <w:r w:rsidR="00CC37C8" w:rsidRPr="00CC37C8">
        <w:rPr>
          <w:rFonts w:ascii="Times New Roman" w:hAnsi="Times New Roman" w:cs="Times New Roman"/>
          <w:sz w:val="24"/>
          <w:szCs w:val="24"/>
        </w:rPr>
        <w:t>“included sub-councils consisting of commanders, religious leaders, and village elders</w:t>
      </w:r>
      <w:r w:rsidR="00CC37C8">
        <w:rPr>
          <w:rFonts w:ascii="Times New Roman" w:hAnsi="Times New Roman" w:cs="Times New Roman"/>
          <w:sz w:val="24"/>
          <w:szCs w:val="24"/>
        </w:rPr>
        <w:t>” and had six committees which “</w:t>
      </w:r>
      <w:r w:rsidR="00CC37C8" w:rsidRPr="00CC37C8">
        <w:rPr>
          <w:rFonts w:ascii="Times New Roman" w:hAnsi="Times New Roman" w:cs="Times New Roman"/>
          <w:sz w:val="24"/>
          <w:szCs w:val="24"/>
        </w:rPr>
        <w:t>dealt with finance, health, education and culture, political affairs (including Kabuli affairs) and information</w:t>
      </w:r>
      <w:r w:rsidR="00CC37C8">
        <w:rPr>
          <w:rFonts w:ascii="Times New Roman" w:hAnsi="Times New Roman" w:cs="Times New Roman"/>
          <w:sz w:val="24"/>
          <w:szCs w:val="24"/>
        </w:rPr>
        <w:t>,”</w:t>
      </w:r>
      <w:r w:rsidR="00CC37C8">
        <w:rPr>
          <w:rStyle w:val="FootnoteReference"/>
          <w:rFonts w:ascii="Times New Roman" w:hAnsi="Times New Roman" w:cs="Times New Roman"/>
          <w:sz w:val="24"/>
          <w:szCs w:val="24"/>
        </w:rPr>
        <w:footnoteReference w:id="5"/>
      </w:r>
      <w:r w:rsidR="00CC37C8">
        <w:rPr>
          <w:rFonts w:ascii="Times New Roman" w:hAnsi="Times New Roman" w:cs="Times New Roman"/>
          <w:sz w:val="24"/>
          <w:szCs w:val="24"/>
        </w:rPr>
        <w:t xml:space="preserve"> another scholar notes the organization’s genesis as a means to military ends and argues that “</w:t>
      </w:r>
      <w:r w:rsidR="00CC37C8" w:rsidRPr="00CC37C8">
        <w:rPr>
          <w:rFonts w:ascii="Times New Roman" w:hAnsi="Times New Roman" w:cs="Times New Roman"/>
          <w:sz w:val="24"/>
          <w:szCs w:val="24"/>
        </w:rPr>
        <w:t>some of this organization existed on paper – or in Massoud’s mind – more than in reality</w:t>
      </w:r>
      <w:r w:rsidR="00CC37C8">
        <w:rPr>
          <w:rFonts w:ascii="Times New Roman" w:hAnsi="Times New Roman" w:cs="Times New Roman"/>
          <w:sz w:val="24"/>
          <w:szCs w:val="24"/>
        </w:rPr>
        <w:t>.</w:t>
      </w:r>
      <w:r w:rsidR="00CC37C8" w:rsidRPr="00CC37C8">
        <w:rPr>
          <w:rFonts w:ascii="Times New Roman" w:hAnsi="Times New Roman" w:cs="Times New Roman"/>
          <w:sz w:val="24"/>
          <w:szCs w:val="24"/>
        </w:rPr>
        <w:t>”</w:t>
      </w:r>
      <w:r w:rsidR="00CC37C8">
        <w:rPr>
          <w:rStyle w:val="FootnoteReference"/>
          <w:rFonts w:ascii="Times New Roman" w:hAnsi="Times New Roman" w:cs="Times New Roman"/>
          <w:sz w:val="24"/>
          <w:szCs w:val="24"/>
        </w:rPr>
        <w:footnoteReference w:id="6"/>
      </w:r>
      <w:r w:rsidR="00587ED3">
        <w:rPr>
          <w:rFonts w:ascii="Times New Roman" w:hAnsi="Times New Roman" w:cs="Times New Roman"/>
          <w:sz w:val="24"/>
          <w:szCs w:val="24"/>
        </w:rPr>
        <w:t xml:space="preserve"> In the absence of evidence speaking to these instruments’ effectiveness aside from noting the prodigious size of this </w:t>
      </w:r>
      <w:r w:rsidR="00587ED3">
        <w:rPr>
          <w:rFonts w:ascii="Times New Roman" w:hAnsi="Times New Roman" w:cs="Times New Roman"/>
          <w:sz w:val="24"/>
          <w:szCs w:val="24"/>
        </w:rPr>
        <w:lastRenderedPageBreak/>
        <w:t>organization and its functions of health, education, and foodstuff provision,</w:t>
      </w:r>
      <w:r w:rsidR="00587ED3">
        <w:rPr>
          <w:rStyle w:val="FootnoteReference"/>
          <w:rFonts w:ascii="Times New Roman" w:hAnsi="Times New Roman" w:cs="Times New Roman"/>
          <w:sz w:val="24"/>
          <w:szCs w:val="24"/>
        </w:rPr>
        <w:footnoteReference w:id="7"/>
      </w:r>
      <w:r w:rsidR="00587ED3">
        <w:rPr>
          <w:rFonts w:ascii="Times New Roman" w:hAnsi="Times New Roman" w:cs="Times New Roman"/>
          <w:sz w:val="24"/>
          <w:szCs w:val="24"/>
        </w:rPr>
        <w:t xml:space="preserve"> this qualifies for an intermediate score regarding public goods provision.</w:t>
      </w:r>
      <w:r w:rsidR="00CD4DD7">
        <w:rPr>
          <w:rStyle w:val="FootnoteReference"/>
          <w:rFonts w:ascii="Times New Roman" w:hAnsi="Times New Roman" w:cs="Times New Roman"/>
          <w:sz w:val="24"/>
          <w:szCs w:val="24"/>
        </w:rPr>
        <w:footnoteReference w:id="8"/>
      </w:r>
    </w:p>
    <w:p w:rsidR="00D7287B" w:rsidRPr="00F62BA4" w:rsidRDefault="00CC37C8" w:rsidP="00D7287B">
      <w:pPr>
        <w:rPr>
          <w:rFonts w:ascii="Times New Roman" w:hAnsi="Times New Roman" w:cs="Times New Roman"/>
          <w:b/>
          <w:sz w:val="24"/>
          <w:szCs w:val="24"/>
        </w:rPr>
      </w:pPr>
      <w:r w:rsidRPr="00BF0F52">
        <w:rPr>
          <w:rFonts w:ascii="Times New Roman" w:hAnsi="Times New Roman" w:cs="Times New Roman"/>
          <w:b/>
          <w:bCs/>
          <w:sz w:val="24"/>
          <w:szCs w:val="24"/>
        </w:rPr>
        <w:t xml:space="preserve"> </w:t>
      </w:r>
      <w:r w:rsidR="00D7287B" w:rsidRPr="00F62BA4">
        <w:rPr>
          <w:rFonts w:ascii="Times New Roman" w:hAnsi="Times New Roman" w:cs="Times New Roman"/>
          <w:b/>
          <w:sz w:val="24"/>
          <w:szCs w:val="24"/>
        </w:rPr>
        <w:t>Afghanistan (1992-1996)</w:t>
      </w:r>
    </w:p>
    <w:p w:rsidR="00D7287B" w:rsidRPr="00F62BA4" w:rsidRDefault="00D7287B" w:rsidP="00D7287B">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855126" w:rsidRPr="00F62BA4">
        <w:rPr>
          <w:rFonts w:ascii="Times New Roman" w:hAnsi="Times New Roman" w:cs="Times New Roman"/>
          <w:sz w:val="24"/>
          <w:szCs w:val="24"/>
        </w:rPr>
        <w:t>Taliban and various allied parties and militias / Islamic State of Afghanistan and various allied parties and militias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BA5540" w:rsidRPr="00F62BA4" w:rsidRDefault="00BA5540" w:rsidP="00D7287B">
      <w:pPr>
        <w:rPr>
          <w:rFonts w:ascii="Times New Roman" w:hAnsi="Times New Roman" w:cs="Times New Roman"/>
          <w:sz w:val="24"/>
          <w:szCs w:val="24"/>
        </w:rPr>
      </w:pPr>
      <w:r w:rsidRPr="00F62BA4">
        <w:rPr>
          <w:rFonts w:ascii="Times New Roman" w:hAnsi="Times New Roman" w:cs="Times New Roman"/>
          <w:sz w:val="24"/>
          <w:szCs w:val="24"/>
        </w:rPr>
        <w:tab/>
        <w:t>Following the fall of the Najibullah government, the UN-negotiated Peshawar Accord attempted to bring many of the erstwhile independent groups and what remained of the collapsed state’s infrastructure and personnel under a common banner</w:t>
      </w:r>
      <w:r w:rsidR="00457934" w:rsidRPr="00F62BA4">
        <w:rPr>
          <w:rFonts w:ascii="Times New Roman" w:hAnsi="Times New Roman" w:cs="Times New Roman"/>
          <w:sz w:val="24"/>
          <w:szCs w:val="24"/>
        </w:rPr>
        <w:t>—The Islamic State of Afghanistan</w:t>
      </w:r>
      <w:r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9"/>
      </w:r>
      <w:r w:rsidR="00457934" w:rsidRPr="00F62BA4">
        <w:rPr>
          <w:rFonts w:ascii="Times New Roman" w:hAnsi="Times New Roman" w:cs="Times New Roman"/>
          <w:sz w:val="24"/>
          <w:szCs w:val="24"/>
        </w:rPr>
        <w:t xml:space="preserve"> </w:t>
      </w:r>
      <w:r w:rsidR="00BC38A0" w:rsidRPr="00F62BA4">
        <w:rPr>
          <w:rFonts w:ascii="Times New Roman" w:hAnsi="Times New Roman" w:cs="Times New Roman"/>
          <w:sz w:val="24"/>
          <w:szCs w:val="24"/>
        </w:rPr>
        <w:t xml:space="preserve">This proved predictably difficult, with </w:t>
      </w:r>
      <w:r w:rsidR="00D956CC" w:rsidRPr="00F62BA4">
        <w:rPr>
          <w:rFonts w:ascii="Times New Roman" w:hAnsi="Times New Roman" w:cs="Times New Roman"/>
          <w:sz w:val="24"/>
          <w:szCs w:val="24"/>
        </w:rPr>
        <w:t xml:space="preserve">Gulbuddin Hekmatyar, leader of the fundamentalist Sunni Pashtun Hizb-i-Islami, rejecting the post of Prime Minister, preferring to </w:t>
      </w:r>
      <w:r w:rsidR="00DE33C8" w:rsidRPr="00F62BA4">
        <w:rPr>
          <w:rFonts w:ascii="Times New Roman" w:hAnsi="Times New Roman" w:cs="Times New Roman"/>
          <w:sz w:val="24"/>
          <w:szCs w:val="24"/>
        </w:rPr>
        <w:t>play the role of “total spoiler” until the full extent of his agenda is achieved or granted (although also motivated by a deep and resentful rivalry with the leader of the Tajik group Jamiat-i-Islami, Ahmad Shah Massoud).</w:t>
      </w:r>
      <w:r w:rsidR="00DE33C8" w:rsidRPr="00F62BA4">
        <w:rPr>
          <w:rStyle w:val="FootnoteReference"/>
          <w:rFonts w:ascii="Times New Roman" w:hAnsi="Times New Roman" w:cs="Times New Roman"/>
          <w:sz w:val="24"/>
          <w:szCs w:val="24"/>
        </w:rPr>
        <w:footnoteReference w:id="10"/>
      </w:r>
      <w:r w:rsidR="00DE33C8" w:rsidRPr="00F62BA4">
        <w:rPr>
          <w:rFonts w:ascii="Times New Roman" w:hAnsi="Times New Roman" w:cs="Times New Roman"/>
          <w:sz w:val="24"/>
          <w:szCs w:val="24"/>
        </w:rPr>
        <w:t xml:space="preserve"> </w:t>
      </w:r>
      <w:r w:rsidR="00C744FC" w:rsidRPr="00F62BA4">
        <w:rPr>
          <w:rFonts w:ascii="Times New Roman" w:hAnsi="Times New Roman" w:cs="Times New Roman"/>
          <w:sz w:val="24"/>
          <w:szCs w:val="24"/>
        </w:rPr>
        <w:t>Hekmatyar’s spoiling behavior contributed to the eventual downfall of the already tenuous tenure of President Burhanuddin Rabbani at the hands of the ascendant Taliban.</w:t>
      </w:r>
    </w:p>
    <w:p w:rsidR="00C744FC" w:rsidRPr="00F62BA4" w:rsidRDefault="00C744FC" w:rsidP="00D7287B">
      <w:pPr>
        <w:rPr>
          <w:rFonts w:ascii="Times New Roman" w:hAnsi="Times New Roman" w:cs="Times New Roman"/>
          <w:sz w:val="24"/>
          <w:szCs w:val="24"/>
        </w:rPr>
      </w:pPr>
      <w:r w:rsidRPr="00F62BA4">
        <w:rPr>
          <w:rFonts w:ascii="Times New Roman" w:hAnsi="Times New Roman" w:cs="Times New Roman"/>
          <w:sz w:val="24"/>
          <w:szCs w:val="24"/>
        </w:rPr>
        <w:tab/>
        <w:t>In spite of their grand pronouncements regarding the restoration of law and order, the Taliban were exceptionally poor governors, even after the war.</w:t>
      </w:r>
      <w:r w:rsidRPr="00F62BA4">
        <w:rPr>
          <w:rStyle w:val="FootnoteReference"/>
          <w:rFonts w:ascii="Times New Roman" w:hAnsi="Times New Roman" w:cs="Times New Roman"/>
          <w:sz w:val="24"/>
          <w:szCs w:val="24"/>
        </w:rPr>
        <w:footnoteReference w:id="11"/>
      </w:r>
      <w:r w:rsidRPr="00F62BA4">
        <w:rPr>
          <w:rFonts w:ascii="Times New Roman" w:hAnsi="Times New Roman" w:cs="Times New Roman"/>
          <w:sz w:val="24"/>
          <w:szCs w:val="24"/>
        </w:rPr>
        <w:t xml:space="preserve"> There is little evidence of any efforts to build up the state’s capacity in Mampillian terms</w:t>
      </w:r>
      <w:r w:rsidR="00BA706B" w:rsidRPr="00F62BA4">
        <w:rPr>
          <w:rFonts w:ascii="Times New Roman" w:hAnsi="Times New Roman" w:cs="Times New Roman"/>
          <w:sz w:val="24"/>
          <w:szCs w:val="24"/>
        </w:rPr>
        <w:t>. Moreover, Taliban leadership did not view such goals as important—military conquest was viewed as far more critical to their agenda. The only governance project at which the Taliban tried their hand was policing, but observers take pains to differentiate this from the establishment of law and order. Instead, the group employed extraordinary violence and cruelty to secure obedience from subject populations. Fear of a grizzly fate ensured order in their controlled territories, not the rule of law. Lastly, manifestations of non-policing governance goods were enthusiastically attacked.</w:t>
      </w:r>
    </w:p>
    <w:p w:rsidR="00F551BC" w:rsidRPr="00F62BA4" w:rsidRDefault="001D2785" w:rsidP="00D7287B">
      <w:pPr>
        <w:rPr>
          <w:rFonts w:ascii="Times New Roman" w:hAnsi="Times New Roman" w:cs="Times New Roman"/>
          <w:sz w:val="24"/>
          <w:szCs w:val="24"/>
        </w:rPr>
      </w:pPr>
      <w:r w:rsidRPr="00F62BA4">
        <w:rPr>
          <w:rFonts w:ascii="Times New Roman" w:hAnsi="Times New Roman" w:cs="Times New Roman"/>
          <w:sz w:val="24"/>
          <w:szCs w:val="24"/>
        </w:rPr>
        <w:tab/>
        <w:t>There is an argument that Moham</w:t>
      </w:r>
      <w:r w:rsidR="001F1F3F" w:rsidRPr="00F62BA4">
        <w:rPr>
          <w:rFonts w:ascii="Times New Roman" w:hAnsi="Times New Roman" w:cs="Times New Roman"/>
          <w:sz w:val="24"/>
          <w:szCs w:val="24"/>
        </w:rPr>
        <w:t>m</w:t>
      </w:r>
      <w:r w:rsidRPr="00F62BA4">
        <w:rPr>
          <w:rFonts w:ascii="Times New Roman" w:hAnsi="Times New Roman" w:cs="Times New Roman"/>
          <w:sz w:val="24"/>
          <w:szCs w:val="24"/>
        </w:rPr>
        <w:t>ed</w:t>
      </w:r>
      <w:r w:rsidR="001F1F3F" w:rsidRPr="00F62BA4">
        <w:rPr>
          <w:rFonts w:ascii="Times New Roman" w:hAnsi="Times New Roman" w:cs="Times New Roman"/>
          <w:sz w:val="24"/>
          <w:szCs w:val="24"/>
        </w:rPr>
        <w:t xml:space="preserve"> Ismail Khan’s relative success in governing the Western city of Herat could constitute some small measure of rebel governance.</w:t>
      </w:r>
      <w:r w:rsidR="001F1F3F" w:rsidRPr="00F62BA4">
        <w:rPr>
          <w:rStyle w:val="FootnoteReference"/>
          <w:rFonts w:ascii="Times New Roman" w:hAnsi="Times New Roman" w:cs="Times New Roman"/>
          <w:sz w:val="24"/>
          <w:szCs w:val="24"/>
        </w:rPr>
        <w:footnoteReference w:id="12"/>
      </w:r>
      <w:r w:rsidR="00EE56E6" w:rsidRPr="00F62BA4">
        <w:rPr>
          <w:rFonts w:ascii="Times New Roman" w:hAnsi="Times New Roman" w:cs="Times New Roman"/>
          <w:sz w:val="24"/>
          <w:szCs w:val="24"/>
        </w:rPr>
        <w:t xml:space="preserve"> He had been able to provide some degree of policing, justice, and public good provision, but he was also afiiliated with Jamiat-i-Islami, a group represented prominently within the government. As such, even though he operated with a large degree of autonomy, it is perhaps misleading to call this rebel governance. Although he was able to return to Afghanistan after the fall of the Taliban’s </w:t>
      </w:r>
      <w:r w:rsidR="00EE56E6" w:rsidRPr="00F62BA4">
        <w:rPr>
          <w:rFonts w:ascii="Times New Roman" w:hAnsi="Times New Roman" w:cs="Times New Roman"/>
          <w:sz w:val="24"/>
          <w:szCs w:val="24"/>
        </w:rPr>
        <w:lastRenderedPageBreak/>
        <w:t>government, he fled into exile in 1995 as the Taliban began to assert their control over large swaths of the country.</w:t>
      </w:r>
    </w:p>
    <w:p w:rsidR="00D7287B" w:rsidRPr="00F62BA4" w:rsidRDefault="00D7287B" w:rsidP="00D7287B">
      <w:pPr>
        <w:rPr>
          <w:rFonts w:ascii="Times New Roman" w:hAnsi="Times New Roman" w:cs="Times New Roman"/>
          <w:b/>
          <w:sz w:val="24"/>
          <w:szCs w:val="24"/>
        </w:rPr>
      </w:pPr>
      <w:r w:rsidRPr="00F62BA4">
        <w:rPr>
          <w:rFonts w:ascii="Times New Roman" w:hAnsi="Times New Roman" w:cs="Times New Roman"/>
          <w:b/>
          <w:sz w:val="24"/>
          <w:szCs w:val="24"/>
        </w:rPr>
        <w:t>Afghanistan (1996-2001)</w:t>
      </w:r>
    </w:p>
    <w:p w:rsidR="00D7287B" w:rsidRPr="00F62BA4" w:rsidRDefault="00D7287B" w:rsidP="00D7287B">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A102A2" w:rsidRPr="00F62BA4">
        <w:rPr>
          <w:rFonts w:ascii="Times New Roman" w:hAnsi="Times New Roman" w:cs="Times New Roman"/>
          <w:sz w:val="24"/>
          <w:szCs w:val="24"/>
        </w:rPr>
        <w:t>Former elements of The Islamic State of Afghanistan / The Emirate of Afghanistan (The Taliban)</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1; Public Goods: 1;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A962EC" w:rsidRPr="00F62BA4" w:rsidRDefault="00A962EC" w:rsidP="00D7287B">
      <w:pPr>
        <w:rPr>
          <w:rFonts w:ascii="Times New Roman" w:hAnsi="Times New Roman" w:cs="Times New Roman"/>
          <w:sz w:val="24"/>
          <w:szCs w:val="24"/>
        </w:rPr>
      </w:pPr>
      <w:r w:rsidRPr="00F62BA4">
        <w:rPr>
          <w:rFonts w:ascii="Times New Roman" w:hAnsi="Times New Roman" w:cs="Times New Roman"/>
          <w:sz w:val="24"/>
          <w:szCs w:val="24"/>
        </w:rPr>
        <w:tab/>
        <w:t>With the ascendance of the Taliban, The remnants of the Islamic State of Afghanistan retreated northward.</w:t>
      </w:r>
      <w:r w:rsidR="001D2785" w:rsidRPr="00F62BA4">
        <w:rPr>
          <w:rFonts w:ascii="Times New Roman" w:hAnsi="Times New Roman" w:cs="Times New Roman"/>
          <w:sz w:val="24"/>
          <w:szCs w:val="24"/>
        </w:rPr>
        <w:t xml:space="preserve"> In spite of the incorporation of Hekmatyar into ISA’s government as prime minister in 1996,</w:t>
      </w:r>
      <w:r w:rsidR="001D2785" w:rsidRPr="00F62BA4">
        <w:rPr>
          <w:rStyle w:val="FootnoteReference"/>
          <w:rFonts w:ascii="Times New Roman" w:hAnsi="Times New Roman" w:cs="Times New Roman"/>
          <w:sz w:val="24"/>
          <w:szCs w:val="24"/>
        </w:rPr>
        <w:footnoteReference w:id="13"/>
      </w:r>
      <w:r w:rsidRPr="00F62BA4">
        <w:rPr>
          <w:rFonts w:ascii="Times New Roman" w:hAnsi="Times New Roman" w:cs="Times New Roman"/>
          <w:sz w:val="24"/>
          <w:szCs w:val="24"/>
        </w:rPr>
        <w:t xml:space="preserve"> </w:t>
      </w:r>
      <w:r w:rsidR="001D2785" w:rsidRPr="00F62BA4">
        <w:rPr>
          <w:rFonts w:ascii="Times New Roman" w:hAnsi="Times New Roman" w:cs="Times New Roman"/>
          <w:sz w:val="24"/>
          <w:szCs w:val="24"/>
        </w:rPr>
        <w:t>t</w:t>
      </w:r>
      <w:r w:rsidRPr="00F62BA4">
        <w:rPr>
          <w:rFonts w:ascii="Times New Roman" w:hAnsi="Times New Roman" w:cs="Times New Roman"/>
          <w:sz w:val="24"/>
          <w:szCs w:val="24"/>
        </w:rPr>
        <w:t>hese remnants were beaten back to the northeastern corner of the country at their nadir in 1998</w:t>
      </w:r>
      <w:r w:rsidR="001D2785" w:rsidRPr="00F62BA4">
        <w:rPr>
          <w:rFonts w:ascii="Times New Roman" w:hAnsi="Times New Roman" w:cs="Times New Roman"/>
          <w:sz w:val="24"/>
          <w:szCs w:val="24"/>
        </w:rPr>
        <w:t>.</w:t>
      </w:r>
      <w:r w:rsidR="008C36CF" w:rsidRPr="00F62BA4">
        <w:rPr>
          <w:rStyle w:val="FootnoteReference"/>
          <w:rFonts w:ascii="Times New Roman" w:hAnsi="Times New Roman" w:cs="Times New Roman"/>
          <w:sz w:val="24"/>
          <w:szCs w:val="24"/>
        </w:rPr>
        <w:footnoteReference w:id="14"/>
      </w:r>
      <w:r w:rsidR="001D2785" w:rsidRPr="00F62BA4">
        <w:rPr>
          <w:rFonts w:ascii="Times New Roman" w:hAnsi="Times New Roman" w:cs="Times New Roman"/>
          <w:sz w:val="24"/>
          <w:szCs w:val="24"/>
        </w:rPr>
        <w:t xml:space="preserve"> </w:t>
      </w:r>
      <w:r w:rsidR="006B33F6" w:rsidRPr="00F62BA4">
        <w:rPr>
          <w:rFonts w:ascii="Times New Roman" w:hAnsi="Times New Roman" w:cs="Times New Roman"/>
          <w:sz w:val="24"/>
          <w:szCs w:val="24"/>
        </w:rPr>
        <w:t>Until American involvement in the conflict after the terrorist attacks of September 11, 2001, the Islamic State and Emirate traded off gains and losses, with some towns captured, lost, and recaptured in relatively short order.</w:t>
      </w:r>
      <w:r w:rsidR="006B33F6" w:rsidRPr="00F62BA4">
        <w:rPr>
          <w:rStyle w:val="FootnoteReference"/>
          <w:rFonts w:ascii="Times New Roman" w:hAnsi="Times New Roman" w:cs="Times New Roman"/>
          <w:sz w:val="24"/>
          <w:szCs w:val="24"/>
        </w:rPr>
        <w:footnoteReference w:id="15"/>
      </w:r>
    </w:p>
    <w:p w:rsidR="00F551BC" w:rsidRPr="00F62BA4" w:rsidRDefault="00F551BC" w:rsidP="00C7425C">
      <w:pPr>
        <w:rPr>
          <w:rFonts w:ascii="Times New Roman" w:hAnsi="Times New Roman" w:cs="Times New Roman"/>
          <w:sz w:val="24"/>
          <w:szCs w:val="24"/>
        </w:rPr>
      </w:pPr>
      <w:r w:rsidRPr="00F62BA4">
        <w:rPr>
          <w:rFonts w:ascii="Times New Roman" w:hAnsi="Times New Roman" w:cs="Times New Roman"/>
          <w:sz w:val="24"/>
          <w:szCs w:val="24"/>
        </w:rPr>
        <w:tab/>
        <w:t xml:space="preserve">It can be argued that Abdul Rashid Dostum, </w:t>
      </w:r>
      <w:r w:rsidR="00C7425C" w:rsidRPr="00F62BA4">
        <w:rPr>
          <w:rFonts w:ascii="Times New Roman" w:hAnsi="Times New Roman" w:cs="Times New Roman"/>
          <w:sz w:val="24"/>
          <w:szCs w:val="24"/>
        </w:rPr>
        <w:t>a one-time Communist officer turned militia leader, had been successful in creating a pocket of governance in Balkh, Mazar-i-Sharif, and Shiberghan.</w:t>
      </w:r>
      <w:r w:rsidR="00C7425C" w:rsidRPr="00F62BA4">
        <w:rPr>
          <w:rStyle w:val="FootnoteReference"/>
          <w:rFonts w:ascii="Times New Roman" w:hAnsi="Times New Roman" w:cs="Times New Roman"/>
          <w:sz w:val="24"/>
          <w:szCs w:val="24"/>
        </w:rPr>
        <w:footnoteReference w:id="16"/>
      </w:r>
      <w:r w:rsidR="00C7425C" w:rsidRPr="00F62BA4">
        <w:rPr>
          <w:rFonts w:ascii="Times New Roman" w:hAnsi="Times New Roman" w:cs="Times New Roman"/>
          <w:sz w:val="24"/>
          <w:szCs w:val="24"/>
        </w:rPr>
        <w:t xml:space="preserve"> Similarly to Ismail Khan, Dostum was able to use what infrastructure remained from the Communist era to provide some semblance of governance. Dostum, like Ismail Khan, was aligned with the Islamic State of Afghanistan, so it would not be accurate to describe him as a rebel (in spite of the difficulties differentiating between the groups amid constant alliance portfolio shuffling) until 1996.</w:t>
      </w:r>
      <w:r w:rsidR="003F7CC2" w:rsidRPr="00F62BA4">
        <w:rPr>
          <w:rFonts w:ascii="Times New Roman" w:hAnsi="Times New Roman" w:cs="Times New Roman"/>
          <w:sz w:val="24"/>
          <w:szCs w:val="24"/>
        </w:rPr>
        <w:t xml:space="preserve"> Thereafter, in spite of his notorious cruelty, regions under his control enjoyed a measure of domestic security and institutionalized education.</w:t>
      </w:r>
      <w:r w:rsidR="003F7CC2" w:rsidRPr="00F62BA4">
        <w:rPr>
          <w:rStyle w:val="FootnoteReference"/>
          <w:rFonts w:ascii="Times New Roman" w:hAnsi="Times New Roman" w:cs="Times New Roman"/>
          <w:sz w:val="24"/>
          <w:szCs w:val="24"/>
        </w:rPr>
        <w:footnoteReference w:id="17"/>
      </w:r>
      <w:r w:rsidR="00C7425C" w:rsidRPr="00F62BA4">
        <w:rPr>
          <w:rFonts w:ascii="Times New Roman" w:hAnsi="Times New Roman" w:cs="Times New Roman"/>
          <w:sz w:val="24"/>
          <w:szCs w:val="24"/>
        </w:rPr>
        <w:t xml:space="preserve"> He was able to maintain some measure of control until 1998</w:t>
      </w:r>
      <w:r w:rsidR="00135B6A" w:rsidRPr="00F62BA4">
        <w:rPr>
          <w:rFonts w:ascii="Times New Roman" w:hAnsi="Times New Roman" w:cs="Times New Roman"/>
          <w:sz w:val="24"/>
          <w:szCs w:val="24"/>
        </w:rPr>
        <w:t>, when (aided by a mutinous lieutenant) the Taliban were able to defeat his considerable forces and chase Dostum into exile.</w:t>
      </w:r>
    </w:p>
    <w:p w:rsidR="003C2B3B" w:rsidRPr="00F62BA4" w:rsidRDefault="003C2B3B" w:rsidP="00C7425C">
      <w:pPr>
        <w:rPr>
          <w:rFonts w:ascii="Times New Roman" w:hAnsi="Times New Roman" w:cs="Times New Roman"/>
          <w:sz w:val="24"/>
          <w:szCs w:val="24"/>
        </w:rPr>
      </w:pPr>
      <w:r w:rsidRPr="00F62BA4">
        <w:rPr>
          <w:rFonts w:ascii="Times New Roman" w:hAnsi="Times New Roman" w:cs="Times New Roman"/>
          <w:sz w:val="24"/>
          <w:szCs w:val="24"/>
        </w:rPr>
        <w:tab/>
        <w:t>The same cannot be said about</w:t>
      </w:r>
      <w:r w:rsidR="003F7CC2" w:rsidRPr="00F62BA4">
        <w:rPr>
          <w:rFonts w:ascii="Times New Roman" w:hAnsi="Times New Roman" w:cs="Times New Roman"/>
          <w:sz w:val="24"/>
          <w:szCs w:val="24"/>
        </w:rPr>
        <w:t xml:space="preserve"> Dostum’s rival,</w:t>
      </w:r>
      <w:r w:rsidRPr="00F62BA4">
        <w:rPr>
          <w:rFonts w:ascii="Times New Roman" w:hAnsi="Times New Roman" w:cs="Times New Roman"/>
          <w:sz w:val="24"/>
          <w:szCs w:val="24"/>
        </w:rPr>
        <w:t xml:space="preserve"> Ahmad Shah Massoud, whose Panjsher Valley enclave was held in some form or fashion until American intervention.</w:t>
      </w:r>
      <w:r w:rsidRPr="00F62BA4">
        <w:rPr>
          <w:rStyle w:val="FootnoteReference"/>
          <w:rFonts w:ascii="Times New Roman" w:hAnsi="Times New Roman" w:cs="Times New Roman"/>
          <w:sz w:val="24"/>
          <w:szCs w:val="24"/>
        </w:rPr>
        <w:footnoteReference w:id="18"/>
      </w:r>
      <w:r w:rsidRPr="00F62BA4">
        <w:rPr>
          <w:rFonts w:ascii="Times New Roman" w:hAnsi="Times New Roman" w:cs="Times New Roman"/>
          <w:sz w:val="24"/>
          <w:szCs w:val="24"/>
        </w:rPr>
        <w:t xml:space="preserve"> Beyond providing a modicum of security from Taliban forces, little is known about Massoud’s record as a governor in these intervening years. However, it is known that he was even more successful at rebuffing Taliban offensives than he was at doing so against Soviet forces in the 1980’s, leading to limited (and largely theoretical) recognition of the Northern Alliance as an opposition group on the part of the Taliban.</w:t>
      </w:r>
      <w:r w:rsidRPr="00F62BA4">
        <w:rPr>
          <w:rStyle w:val="FootnoteReference"/>
          <w:rFonts w:ascii="Times New Roman" w:hAnsi="Times New Roman" w:cs="Times New Roman"/>
          <w:sz w:val="24"/>
          <w:szCs w:val="24"/>
        </w:rPr>
        <w:footnoteReference w:id="19"/>
      </w:r>
    </w:p>
    <w:p w:rsidR="00FB5149" w:rsidRPr="00F62BA4" w:rsidRDefault="00FB5149" w:rsidP="006D0328">
      <w:pPr>
        <w:rPr>
          <w:rFonts w:ascii="Times New Roman" w:hAnsi="Times New Roman" w:cs="Times New Roman"/>
          <w:b/>
          <w:sz w:val="24"/>
          <w:szCs w:val="24"/>
        </w:rPr>
      </w:pPr>
      <w:r w:rsidRPr="00F62BA4">
        <w:rPr>
          <w:rFonts w:ascii="Times New Roman" w:hAnsi="Times New Roman" w:cs="Times New Roman"/>
          <w:b/>
          <w:sz w:val="24"/>
          <w:szCs w:val="24"/>
        </w:rPr>
        <w:t>Algeria (1992-2005)</w:t>
      </w:r>
    </w:p>
    <w:p w:rsidR="00E05475" w:rsidRPr="00F62BA4" w:rsidRDefault="00E05475" w:rsidP="006D0328">
      <w:pPr>
        <w:rPr>
          <w:rFonts w:ascii="Times New Roman" w:hAnsi="Times New Roman" w:cs="Times New Roman"/>
          <w:sz w:val="24"/>
          <w:szCs w:val="24"/>
        </w:rPr>
      </w:pPr>
      <w:r w:rsidRPr="00F62BA4">
        <w:rPr>
          <w:rFonts w:ascii="Times New Roman" w:hAnsi="Times New Roman" w:cs="Times New Roman"/>
          <w:sz w:val="24"/>
          <w:szCs w:val="24"/>
        </w:rPr>
        <w:lastRenderedPageBreak/>
        <w:t>Rebels / Incumbents: Islamic Salvation Front (FIS), Armed Islamic Group (GIA) / Algeria</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E05475" w:rsidRPr="00F62BA4" w:rsidRDefault="00E05475" w:rsidP="006D0328">
      <w:pPr>
        <w:rPr>
          <w:rFonts w:ascii="Times New Roman" w:hAnsi="Times New Roman" w:cs="Times New Roman"/>
          <w:sz w:val="24"/>
          <w:szCs w:val="24"/>
        </w:rPr>
      </w:pPr>
      <w:r w:rsidRPr="00F62BA4">
        <w:rPr>
          <w:rFonts w:ascii="Times New Roman" w:hAnsi="Times New Roman" w:cs="Times New Roman"/>
          <w:sz w:val="24"/>
          <w:szCs w:val="24"/>
        </w:rPr>
        <w:tab/>
        <w:t>The Algerian Civil War came in the wake of a military coup which prevented the victorious FIS from taking power.</w:t>
      </w:r>
      <w:r w:rsidRPr="00F62BA4">
        <w:rPr>
          <w:rStyle w:val="FootnoteReference"/>
          <w:rFonts w:ascii="Times New Roman" w:hAnsi="Times New Roman" w:cs="Times New Roman"/>
          <w:sz w:val="24"/>
          <w:szCs w:val="24"/>
        </w:rPr>
        <w:footnoteReference w:id="20"/>
      </w:r>
      <w:r w:rsidRPr="00F62BA4">
        <w:rPr>
          <w:rFonts w:ascii="Times New Roman" w:hAnsi="Times New Roman" w:cs="Times New Roman"/>
          <w:sz w:val="24"/>
          <w:szCs w:val="24"/>
        </w:rPr>
        <w:t xml:space="preserve"> In the wake of the coup, Islamist militias took up arms to challenge the state. While FIS-aligned fighters initially fought to secure the fruits of their electoral victory, the GIA fought to destabilize the state.</w:t>
      </w:r>
      <w:r w:rsidR="005C6E16" w:rsidRPr="00F62BA4">
        <w:rPr>
          <w:rFonts w:ascii="Times New Roman" w:hAnsi="Times New Roman" w:cs="Times New Roman"/>
          <w:sz w:val="24"/>
          <w:szCs w:val="24"/>
        </w:rPr>
        <w:t xml:space="preserve"> The profound violence that the groups employed (especially the GIA) made holding the groups together difficult, to say nothing of their attempts to govern.</w:t>
      </w:r>
      <w:r w:rsidR="00DE7404" w:rsidRPr="00F62BA4">
        <w:rPr>
          <w:rStyle w:val="FootnoteReference"/>
          <w:rFonts w:ascii="Times New Roman" w:hAnsi="Times New Roman" w:cs="Times New Roman"/>
          <w:sz w:val="24"/>
          <w:szCs w:val="24"/>
        </w:rPr>
        <w:footnoteReference w:id="21"/>
      </w:r>
    </w:p>
    <w:p w:rsidR="005C6E16" w:rsidRPr="00F62BA4" w:rsidRDefault="005C6E16" w:rsidP="005C6E16">
      <w:pPr>
        <w:ind w:firstLine="720"/>
        <w:rPr>
          <w:rFonts w:ascii="Times New Roman" w:hAnsi="Times New Roman" w:cs="Times New Roman"/>
          <w:sz w:val="24"/>
          <w:szCs w:val="24"/>
        </w:rPr>
      </w:pPr>
      <w:r w:rsidRPr="00F62BA4">
        <w:rPr>
          <w:rFonts w:ascii="Times New Roman" w:hAnsi="Times New Roman" w:cs="Times New Roman"/>
          <w:sz w:val="24"/>
          <w:szCs w:val="24"/>
        </w:rPr>
        <w:t>The GIA fought to overturn the state and was ideologically opposed to any compromise of that goal.</w:t>
      </w:r>
      <w:r w:rsidRPr="00F62BA4">
        <w:rPr>
          <w:rStyle w:val="FootnoteReference"/>
          <w:rFonts w:ascii="Times New Roman" w:hAnsi="Times New Roman" w:cs="Times New Roman"/>
          <w:sz w:val="24"/>
          <w:szCs w:val="24"/>
        </w:rPr>
        <w:footnoteReference w:id="22"/>
      </w:r>
      <w:r w:rsidRPr="00F62BA4">
        <w:rPr>
          <w:rFonts w:ascii="Times New Roman" w:hAnsi="Times New Roman" w:cs="Times New Roman"/>
          <w:sz w:val="24"/>
          <w:szCs w:val="24"/>
        </w:rPr>
        <w:t xml:space="preserve"> This ideology was a powerful recruitment tool, but desertion quickly became an issue as the group exercised extreme cruelty when dealing with civilians (many of whom were Muslim themselves). This ideology—in particular its forswearing of dialogue—led to an interesting development.</w:t>
      </w:r>
      <w:r w:rsidRPr="00F62BA4">
        <w:rPr>
          <w:rStyle w:val="FootnoteReference"/>
          <w:rFonts w:ascii="Times New Roman" w:hAnsi="Times New Roman" w:cs="Times New Roman"/>
          <w:sz w:val="24"/>
          <w:szCs w:val="24"/>
        </w:rPr>
        <w:footnoteReference w:id="23"/>
      </w:r>
      <w:r w:rsidRPr="00F62BA4">
        <w:rPr>
          <w:rFonts w:ascii="Times New Roman" w:hAnsi="Times New Roman" w:cs="Times New Roman"/>
          <w:sz w:val="24"/>
          <w:szCs w:val="24"/>
        </w:rPr>
        <w:t xml:space="preserve"> While the coup is generally seen as the cause de guerre, the GIA were uninterested in becoming a legal political party (The FIS lost legal status in the wake of the coup). </w:t>
      </w:r>
      <w:r w:rsidR="001D3AD6" w:rsidRPr="00F62BA4">
        <w:rPr>
          <w:rFonts w:ascii="Times New Roman" w:hAnsi="Times New Roman" w:cs="Times New Roman"/>
          <w:sz w:val="24"/>
          <w:szCs w:val="24"/>
        </w:rPr>
        <w:t>The Islamist’s</w:t>
      </w:r>
      <w:r w:rsidR="00DE7404" w:rsidRPr="00F62BA4">
        <w:rPr>
          <w:rFonts w:ascii="Times New Roman" w:hAnsi="Times New Roman" w:cs="Times New Roman"/>
          <w:sz w:val="24"/>
          <w:szCs w:val="24"/>
        </w:rPr>
        <w:t xml:space="preserve"> group’s single-minder pursuit of</w:t>
      </w:r>
      <w:r w:rsidR="001D3AD6" w:rsidRPr="00F62BA4">
        <w:rPr>
          <w:rFonts w:ascii="Times New Roman" w:hAnsi="Times New Roman" w:cs="Times New Roman"/>
          <w:sz w:val="24"/>
          <w:szCs w:val="24"/>
        </w:rPr>
        <w:t xml:space="preserve"> the liquidation of the state</w:t>
      </w:r>
      <w:r w:rsidR="00DE7404" w:rsidRPr="00F62BA4">
        <w:rPr>
          <w:rFonts w:ascii="Times New Roman" w:hAnsi="Times New Roman" w:cs="Times New Roman"/>
          <w:sz w:val="24"/>
          <w:szCs w:val="24"/>
        </w:rPr>
        <w:t xml:space="preserve"> above</w:t>
      </w:r>
      <w:r w:rsidR="001D3AD6" w:rsidRPr="00F62BA4">
        <w:rPr>
          <w:rFonts w:ascii="Times New Roman" w:hAnsi="Times New Roman" w:cs="Times New Roman"/>
          <w:sz w:val="24"/>
          <w:szCs w:val="24"/>
        </w:rPr>
        <w:t xml:space="preserve"> left little room for governance (although it did apparently give support to the hardline military position on the matter).</w:t>
      </w:r>
      <w:r w:rsidR="001D3AD6" w:rsidRPr="00F62BA4">
        <w:rPr>
          <w:rStyle w:val="FootnoteReference"/>
          <w:rFonts w:ascii="Times New Roman" w:hAnsi="Times New Roman" w:cs="Times New Roman"/>
          <w:sz w:val="24"/>
          <w:szCs w:val="24"/>
        </w:rPr>
        <w:footnoteReference w:id="24"/>
      </w:r>
    </w:p>
    <w:p w:rsidR="006D0328"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t>Angola (1975-</w:t>
      </w:r>
      <w:r w:rsidR="00AD49CE" w:rsidRPr="00F62BA4">
        <w:rPr>
          <w:rFonts w:ascii="Times New Roman" w:hAnsi="Times New Roman" w:cs="Times New Roman"/>
          <w:b/>
          <w:sz w:val="24"/>
          <w:szCs w:val="24"/>
        </w:rPr>
        <w:t>1989</w:t>
      </w:r>
      <w:r w:rsidRPr="00F62BA4">
        <w:rPr>
          <w:rFonts w:ascii="Times New Roman" w:hAnsi="Times New Roman" w:cs="Times New Roman"/>
          <w:b/>
          <w:sz w:val="24"/>
          <w:szCs w:val="24"/>
        </w:rPr>
        <w:t>)</w:t>
      </w:r>
    </w:p>
    <w:p w:rsidR="00AD49CE" w:rsidRPr="00F62BA4" w:rsidRDefault="00AD49CE" w:rsidP="00AD49CE">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003F767B"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003F767B" w:rsidRPr="00F62BA4">
        <w:rPr>
          <w:rFonts w:ascii="Times New Roman" w:hAnsi="Times New Roman" w:cs="Times New Roman"/>
          <w:sz w:val="24"/>
          <w:szCs w:val="24"/>
        </w:rPr>
        <w:t>Incumbents</w:t>
      </w:r>
      <w:r w:rsidRPr="00F62BA4">
        <w:rPr>
          <w:rFonts w:ascii="Times New Roman" w:hAnsi="Times New Roman" w:cs="Times New Roman"/>
          <w:sz w:val="24"/>
          <w:szCs w:val="24"/>
        </w:rPr>
        <w:t xml:space="preserve">: </w:t>
      </w:r>
      <w:r w:rsidR="00C7380F" w:rsidRPr="00F62BA4">
        <w:rPr>
          <w:rFonts w:ascii="Times New Roman" w:hAnsi="Times New Roman" w:cs="Times New Roman"/>
          <w:sz w:val="24"/>
          <w:szCs w:val="24"/>
        </w:rPr>
        <w:t>National Union for the Total Independence of Angola (</w:t>
      </w:r>
      <w:r w:rsidRPr="00F62BA4">
        <w:rPr>
          <w:rFonts w:ascii="Times New Roman" w:hAnsi="Times New Roman" w:cs="Times New Roman"/>
          <w:sz w:val="24"/>
          <w:szCs w:val="24"/>
        </w:rPr>
        <w:t>UNITA</w:t>
      </w:r>
      <w:r w:rsidR="00C7380F" w:rsidRPr="00F62BA4">
        <w:rPr>
          <w:rFonts w:ascii="Times New Roman" w:hAnsi="Times New Roman" w:cs="Times New Roman"/>
          <w:sz w:val="24"/>
          <w:szCs w:val="24"/>
        </w:rPr>
        <w:t>)</w:t>
      </w:r>
      <w:r w:rsidR="00256C9A">
        <w:rPr>
          <w:rFonts w:ascii="Times New Roman" w:hAnsi="Times New Roman" w:cs="Times New Roman"/>
          <w:sz w:val="24"/>
          <w:szCs w:val="24"/>
        </w:rPr>
        <w:t xml:space="preserve">, </w:t>
      </w:r>
      <w:r w:rsidR="00256C9A" w:rsidRPr="00A758DA">
        <w:rPr>
          <w:rFonts w:ascii="Times New Roman" w:hAnsi="Times New Roman" w:cs="Times New Roman"/>
          <w:sz w:val="24"/>
          <w:szCs w:val="24"/>
        </w:rPr>
        <w:t>National Liberation Front of Angola (FNLA)</w:t>
      </w:r>
      <w:r w:rsidR="00C7380F" w:rsidRPr="00F62BA4">
        <w:rPr>
          <w:rFonts w:ascii="Times New Roman" w:hAnsi="Times New Roman" w:cs="Times New Roman"/>
          <w:sz w:val="24"/>
          <w:szCs w:val="24"/>
        </w:rPr>
        <w:t xml:space="preserve"> </w:t>
      </w:r>
      <w:r w:rsidR="003F767B"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Popular Movement for the Liberation of Angola (</w:t>
      </w:r>
      <w:r w:rsidR="003F767B" w:rsidRPr="00F62BA4">
        <w:rPr>
          <w:rFonts w:ascii="Times New Roman" w:hAnsi="Times New Roman" w:cs="Times New Roman"/>
          <w:sz w:val="24"/>
          <w:szCs w:val="24"/>
        </w:rPr>
        <w:t>MPLA</w:t>
      </w:r>
      <w:r w:rsidR="00C7380F" w:rsidRPr="00F62BA4">
        <w:rPr>
          <w:rFonts w:ascii="Times New Roman" w:hAnsi="Times New Roman" w:cs="Times New Roman"/>
          <w:sz w:val="24"/>
          <w:szCs w:val="24"/>
        </w:rPr>
        <w:t>)</w:t>
      </w:r>
    </w:p>
    <w:p w:rsidR="00AD49CE" w:rsidRPr="00F62BA4" w:rsidRDefault="005B1032" w:rsidP="00AD49CE">
      <w:pPr>
        <w:rPr>
          <w:rFonts w:ascii="Times New Roman" w:hAnsi="Times New Roman" w:cs="Times New Roman"/>
          <w:b/>
          <w:sz w:val="24"/>
          <w:szCs w:val="24"/>
        </w:rPr>
      </w:pPr>
      <w:r>
        <w:rPr>
          <w:rFonts w:ascii="Times New Roman" w:hAnsi="Times New Roman" w:cs="Times New Roman"/>
          <w:b/>
          <w:sz w:val="24"/>
          <w:szCs w:val="24"/>
        </w:rPr>
        <w:t>Policing/juridical</w:t>
      </w:r>
      <w:r w:rsidR="00AD49CE" w:rsidRPr="00F62BA4">
        <w:rPr>
          <w:rFonts w:ascii="Times New Roman" w:hAnsi="Times New Roman" w:cs="Times New Roman"/>
          <w:b/>
          <w:sz w:val="24"/>
          <w:szCs w:val="24"/>
        </w:rPr>
        <w:t xml:space="preserve">: 2; Public Goods: 2; </w:t>
      </w:r>
      <w:r>
        <w:rPr>
          <w:rFonts w:ascii="Times New Roman" w:hAnsi="Times New Roman" w:cs="Times New Roman"/>
          <w:b/>
          <w:sz w:val="24"/>
          <w:szCs w:val="24"/>
        </w:rPr>
        <w:t>Consultative instruments</w:t>
      </w:r>
      <w:r w:rsidR="00AD49CE" w:rsidRPr="00F62BA4">
        <w:rPr>
          <w:rFonts w:ascii="Times New Roman" w:hAnsi="Times New Roman" w:cs="Times New Roman"/>
          <w:b/>
          <w:sz w:val="24"/>
          <w:szCs w:val="24"/>
        </w:rPr>
        <w:t xml:space="preserve">: </w:t>
      </w:r>
      <w:r w:rsidR="00246D0C" w:rsidRPr="00F62BA4">
        <w:rPr>
          <w:rFonts w:ascii="Times New Roman" w:hAnsi="Times New Roman" w:cs="Times New Roman"/>
          <w:b/>
          <w:sz w:val="24"/>
          <w:szCs w:val="24"/>
        </w:rPr>
        <w:t>0</w:t>
      </w:r>
    </w:p>
    <w:p w:rsidR="00AD49CE" w:rsidRPr="00F62BA4" w:rsidRDefault="00AD49CE" w:rsidP="00AD49CE">
      <w:pPr>
        <w:rPr>
          <w:rFonts w:ascii="Times New Roman" w:hAnsi="Times New Roman" w:cs="Times New Roman"/>
          <w:b/>
          <w:sz w:val="24"/>
          <w:szCs w:val="24"/>
        </w:rPr>
      </w:pPr>
      <w:r w:rsidRPr="00F62BA4">
        <w:rPr>
          <w:rFonts w:ascii="Times New Roman" w:hAnsi="Times New Roman" w:cs="Times New Roman"/>
          <w:b/>
          <w:sz w:val="24"/>
          <w:szCs w:val="24"/>
        </w:rPr>
        <w:t>Angola (1989-1991)</w:t>
      </w:r>
    </w:p>
    <w:p w:rsidR="003F767B" w:rsidRPr="00F62BA4" w:rsidRDefault="003F767B" w:rsidP="003F767B">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Incumbents: UNITA</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MPLA</w:t>
      </w:r>
    </w:p>
    <w:p w:rsidR="00AD49CE" w:rsidRPr="00F62BA4" w:rsidRDefault="005B1032" w:rsidP="00AD49CE">
      <w:pPr>
        <w:rPr>
          <w:rFonts w:ascii="Times New Roman" w:hAnsi="Times New Roman" w:cs="Times New Roman"/>
          <w:b/>
          <w:sz w:val="24"/>
          <w:szCs w:val="24"/>
        </w:rPr>
      </w:pPr>
      <w:r>
        <w:rPr>
          <w:rFonts w:ascii="Times New Roman" w:hAnsi="Times New Roman" w:cs="Times New Roman"/>
          <w:b/>
          <w:sz w:val="24"/>
          <w:szCs w:val="24"/>
        </w:rPr>
        <w:t>Policing/juridical</w:t>
      </w:r>
      <w:r w:rsidR="00AD49CE" w:rsidRPr="00F62BA4">
        <w:rPr>
          <w:rFonts w:ascii="Times New Roman" w:hAnsi="Times New Roman" w:cs="Times New Roman"/>
          <w:b/>
          <w:sz w:val="24"/>
          <w:szCs w:val="24"/>
        </w:rPr>
        <w:t xml:space="preserve">: 2; Public </w:t>
      </w:r>
      <w:r w:rsidR="00246D0C" w:rsidRPr="00F62BA4">
        <w:rPr>
          <w:rFonts w:ascii="Times New Roman" w:hAnsi="Times New Roman" w:cs="Times New Roman"/>
          <w:b/>
          <w:sz w:val="24"/>
          <w:szCs w:val="24"/>
        </w:rPr>
        <w:t xml:space="preserve">Goods: 2; </w:t>
      </w:r>
      <w:r>
        <w:rPr>
          <w:rFonts w:ascii="Times New Roman" w:hAnsi="Times New Roman" w:cs="Times New Roman"/>
          <w:b/>
          <w:sz w:val="24"/>
          <w:szCs w:val="24"/>
        </w:rPr>
        <w:t>Consultative instruments</w:t>
      </w:r>
      <w:r w:rsidR="00246D0C" w:rsidRPr="00F62BA4">
        <w:rPr>
          <w:rFonts w:ascii="Times New Roman" w:hAnsi="Times New Roman" w:cs="Times New Roman"/>
          <w:b/>
          <w:sz w:val="24"/>
          <w:szCs w:val="24"/>
        </w:rPr>
        <w:t>: 0</w:t>
      </w:r>
    </w:p>
    <w:p w:rsidR="00AD49CE" w:rsidRPr="00F62BA4" w:rsidRDefault="00AD49CE" w:rsidP="00AD49CE">
      <w:pPr>
        <w:rPr>
          <w:rFonts w:ascii="Times New Roman" w:hAnsi="Times New Roman" w:cs="Times New Roman"/>
          <w:b/>
          <w:sz w:val="24"/>
          <w:szCs w:val="24"/>
        </w:rPr>
      </w:pPr>
      <w:r w:rsidRPr="00F62BA4">
        <w:rPr>
          <w:rFonts w:ascii="Times New Roman" w:hAnsi="Times New Roman" w:cs="Times New Roman"/>
          <w:b/>
          <w:sz w:val="24"/>
          <w:szCs w:val="24"/>
        </w:rPr>
        <w:t>Angola (1992-1994)</w:t>
      </w:r>
    </w:p>
    <w:p w:rsidR="003F767B" w:rsidRPr="00F62BA4" w:rsidRDefault="003F767B" w:rsidP="003F767B">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Incumbents: UNITA</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MPLA</w:t>
      </w:r>
    </w:p>
    <w:p w:rsidR="00AD49CE" w:rsidRPr="00F62BA4" w:rsidRDefault="005B1032" w:rsidP="00AD49CE">
      <w:pPr>
        <w:rPr>
          <w:rFonts w:ascii="Times New Roman" w:hAnsi="Times New Roman" w:cs="Times New Roman"/>
          <w:b/>
          <w:sz w:val="24"/>
          <w:szCs w:val="24"/>
        </w:rPr>
      </w:pPr>
      <w:r>
        <w:rPr>
          <w:rFonts w:ascii="Times New Roman" w:hAnsi="Times New Roman" w:cs="Times New Roman"/>
          <w:b/>
          <w:sz w:val="24"/>
          <w:szCs w:val="24"/>
        </w:rPr>
        <w:t>Policing/juridical</w:t>
      </w:r>
      <w:r w:rsidR="00AD49CE" w:rsidRPr="00F62BA4">
        <w:rPr>
          <w:rFonts w:ascii="Times New Roman" w:hAnsi="Times New Roman" w:cs="Times New Roman"/>
          <w:b/>
          <w:sz w:val="24"/>
          <w:szCs w:val="24"/>
        </w:rPr>
        <w:t xml:space="preserve">: </w:t>
      </w:r>
      <w:r w:rsidR="00375260">
        <w:rPr>
          <w:rFonts w:ascii="Times New Roman" w:hAnsi="Times New Roman" w:cs="Times New Roman"/>
          <w:b/>
          <w:sz w:val="24"/>
          <w:szCs w:val="24"/>
        </w:rPr>
        <w:t>1</w:t>
      </w:r>
      <w:r w:rsidR="00AD49CE" w:rsidRPr="00F62BA4">
        <w:rPr>
          <w:rFonts w:ascii="Times New Roman" w:hAnsi="Times New Roman" w:cs="Times New Roman"/>
          <w:b/>
          <w:sz w:val="24"/>
          <w:szCs w:val="24"/>
        </w:rPr>
        <w:t xml:space="preserve">; Public </w:t>
      </w:r>
      <w:r w:rsidR="00246D0C" w:rsidRPr="00F62BA4">
        <w:rPr>
          <w:rFonts w:ascii="Times New Roman" w:hAnsi="Times New Roman" w:cs="Times New Roman"/>
          <w:b/>
          <w:sz w:val="24"/>
          <w:szCs w:val="24"/>
        </w:rPr>
        <w:t xml:space="preserve">Goods: 2; </w:t>
      </w:r>
      <w:r>
        <w:rPr>
          <w:rFonts w:ascii="Times New Roman" w:hAnsi="Times New Roman" w:cs="Times New Roman"/>
          <w:b/>
          <w:sz w:val="24"/>
          <w:szCs w:val="24"/>
        </w:rPr>
        <w:t>Consultative instruments</w:t>
      </w:r>
      <w:r w:rsidR="00246D0C" w:rsidRPr="00F62BA4">
        <w:rPr>
          <w:rFonts w:ascii="Times New Roman" w:hAnsi="Times New Roman" w:cs="Times New Roman"/>
          <w:b/>
          <w:sz w:val="24"/>
          <w:szCs w:val="24"/>
        </w:rPr>
        <w:t>: 0</w:t>
      </w:r>
    </w:p>
    <w:p w:rsidR="00AD49CE" w:rsidRPr="00F62BA4" w:rsidRDefault="00AD49CE" w:rsidP="00AD49CE">
      <w:pPr>
        <w:rPr>
          <w:rFonts w:ascii="Times New Roman" w:hAnsi="Times New Roman" w:cs="Times New Roman"/>
          <w:b/>
          <w:sz w:val="24"/>
          <w:szCs w:val="24"/>
        </w:rPr>
      </w:pPr>
      <w:r w:rsidRPr="00F62BA4">
        <w:rPr>
          <w:rFonts w:ascii="Times New Roman" w:hAnsi="Times New Roman" w:cs="Times New Roman"/>
          <w:b/>
          <w:sz w:val="24"/>
          <w:szCs w:val="24"/>
        </w:rPr>
        <w:t>Angola (1998-2002)</w:t>
      </w:r>
    </w:p>
    <w:p w:rsidR="003F767B" w:rsidRPr="00F62BA4" w:rsidRDefault="003F767B" w:rsidP="003F767B">
      <w:pPr>
        <w:rPr>
          <w:rFonts w:ascii="Times New Roman" w:hAnsi="Times New Roman" w:cs="Times New Roman"/>
          <w:sz w:val="24"/>
          <w:szCs w:val="24"/>
        </w:rPr>
      </w:pPr>
      <w:r w:rsidRPr="00F62BA4">
        <w:rPr>
          <w:rFonts w:ascii="Times New Roman" w:hAnsi="Times New Roman" w:cs="Times New Roman"/>
          <w:sz w:val="24"/>
          <w:szCs w:val="24"/>
        </w:rPr>
        <w:lastRenderedPageBreak/>
        <w:t>Rebels</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Incumbents: UNITA</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Pr="00F62BA4">
        <w:rPr>
          <w:rFonts w:ascii="Times New Roman" w:hAnsi="Times New Roman" w:cs="Times New Roman"/>
          <w:sz w:val="24"/>
          <w:szCs w:val="24"/>
        </w:rPr>
        <w:t>MPLA</w:t>
      </w:r>
    </w:p>
    <w:p w:rsidR="00AD49CE" w:rsidRPr="00F62BA4"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AD49CE" w:rsidRPr="00F62BA4">
        <w:rPr>
          <w:rFonts w:ascii="Times New Roman" w:hAnsi="Times New Roman" w:cs="Times New Roman"/>
          <w:b/>
          <w:sz w:val="24"/>
          <w:szCs w:val="24"/>
        </w:rPr>
        <w:t xml:space="preserve">: </w:t>
      </w:r>
      <w:r w:rsidR="005B3A24">
        <w:rPr>
          <w:rFonts w:ascii="Times New Roman" w:hAnsi="Times New Roman" w:cs="Times New Roman"/>
          <w:b/>
          <w:sz w:val="24"/>
          <w:szCs w:val="24"/>
        </w:rPr>
        <w:t>1</w:t>
      </w:r>
      <w:r w:rsidR="00AD49CE" w:rsidRPr="00F62BA4">
        <w:rPr>
          <w:rFonts w:ascii="Times New Roman" w:hAnsi="Times New Roman" w:cs="Times New Roman"/>
          <w:b/>
          <w:sz w:val="24"/>
          <w:szCs w:val="24"/>
        </w:rPr>
        <w:t xml:space="preserve">; Public </w:t>
      </w:r>
      <w:r w:rsidR="00246D0C" w:rsidRPr="00F62BA4">
        <w:rPr>
          <w:rFonts w:ascii="Times New Roman" w:hAnsi="Times New Roman" w:cs="Times New Roman"/>
          <w:b/>
          <w:sz w:val="24"/>
          <w:szCs w:val="24"/>
        </w:rPr>
        <w:t xml:space="preserve">Goods: </w:t>
      </w:r>
      <w:r w:rsidR="005B3A24">
        <w:rPr>
          <w:rFonts w:ascii="Times New Roman" w:hAnsi="Times New Roman" w:cs="Times New Roman"/>
          <w:b/>
          <w:sz w:val="24"/>
          <w:szCs w:val="24"/>
        </w:rPr>
        <w:t>1</w:t>
      </w:r>
      <w:r w:rsidR="00246D0C"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246D0C" w:rsidRPr="00F62BA4">
        <w:rPr>
          <w:rFonts w:ascii="Times New Roman" w:hAnsi="Times New Roman" w:cs="Times New Roman"/>
          <w:b/>
          <w:sz w:val="24"/>
          <w:szCs w:val="24"/>
        </w:rPr>
        <w:t>: 0</w:t>
      </w:r>
    </w:p>
    <w:p w:rsidR="006D0328" w:rsidRPr="00F62BA4" w:rsidRDefault="00AA00BE" w:rsidP="006D0328">
      <w:pPr>
        <w:rPr>
          <w:rFonts w:ascii="Times New Roman" w:hAnsi="Times New Roman" w:cs="Times New Roman"/>
          <w:sz w:val="24"/>
          <w:szCs w:val="24"/>
        </w:rPr>
      </w:pPr>
      <w:r>
        <w:rPr>
          <w:rFonts w:ascii="Times New Roman" w:hAnsi="Times New Roman" w:cs="Times New Roman"/>
          <w:sz w:val="24"/>
          <w:szCs w:val="24"/>
        </w:rPr>
        <w:t>See Case Study Chapter</w:t>
      </w:r>
    </w:p>
    <w:p w:rsidR="004B3AAD" w:rsidRPr="00F62BA4" w:rsidRDefault="004B3AAD" w:rsidP="004B3AAD">
      <w:pPr>
        <w:rPr>
          <w:rFonts w:ascii="Times New Roman" w:hAnsi="Times New Roman" w:cs="Times New Roman"/>
          <w:b/>
          <w:sz w:val="24"/>
          <w:szCs w:val="24"/>
        </w:rPr>
      </w:pPr>
      <w:r w:rsidRPr="00F62BA4">
        <w:rPr>
          <w:rFonts w:ascii="Times New Roman" w:hAnsi="Times New Roman" w:cs="Times New Roman"/>
          <w:b/>
          <w:sz w:val="24"/>
          <w:szCs w:val="24"/>
        </w:rPr>
        <w:t>Azerbaijan (1991-1994)</w:t>
      </w:r>
    </w:p>
    <w:p w:rsidR="004B3AAD" w:rsidRPr="00F62BA4" w:rsidRDefault="004B3AAD" w:rsidP="004B3AAD">
      <w:pPr>
        <w:rPr>
          <w:rFonts w:ascii="Times New Roman" w:hAnsi="Times New Roman" w:cs="Times New Roman"/>
          <w:sz w:val="24"/>
          <w:szCs w:val="24"/>
        </w:rPr>
      </w:pPr>
      <w:r w:rsidRPr="00F62BA4">
        <w:rPr>
          <w:rFonts w:ascii="Times New Roman" w:hAnsi="Times New Roman" w:cs="Times New Roman"/>
          <w:sz w:val="24"/>
          <w:szCs w:val="24"/>
        </w:rPr>
        <w:t>Rebels / Incumbents: Nagorno-Karabakh / Azerbaijan</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1;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1</w:t>
      </w:r>
    </w:p>
    <w:p w:rsidR="00A60861" w:rsidRPr="00F62BA4" w:rsidRDefault="00A60861" w:rsidP="004B3AAD">
      <w:pPr>
        <w:rPr>
          <w:rFonts w:ascii="Times New Roman" w:hAnsi="Times New Roman" w:cs="Times New Roman"/>
          <w:sz w:val="24"/>
          <w:szCs w:val="24"/>
        </w:rPr>
      </w:pPr>
      <w:r w:rsidRPr="00F62BA4">
        <w:rPr>
          <w:rFonts w:ascii="Times New Roman" w:hAnsi="Times New Roman" w:cs="Times New Roman"/>
          <w:sz w:val="24"/>
          <w:szCs w:val="24"/>
        </w:rPr>
        <w:tab/>
        <w:t>One could be forgiven for thinking that the civil war in Azerbaijan was, in fact, an interstate one. After all, Azerbaijani and Armenian forces clashed during the conflict. However, the war was one of secession for the Armenian majority in the Azerbaijani district of Nagorno-Karabakh.</w:t>
      </w:r>
      <w:r w:rsidRPr="00F62BA4">
        <w:rPr>
          <w:rStyle w:val="FootnoteReference"/>
          <w:rFonts w:ascii="Times New Roman" w:hAnsi="Times New Roman" w:cs="Times New Roman"/>
          <w:sz w:val="24"/>
          <w:szCs w:val="24"/>
        </w:rPr>
        <w:footnoteReference w:id="25"/>
      </w:r>
      <w:r w:rsidR="00C02AA9" w:rsidRPr="00F62BA4">
        <w:rPr>
          <w:rFonts w:ascii="Times New Roman" w:hAnsi="Times New Roman" w:cs="Times New Roman"/>
          <w:sz w:val="24"/>
          <w:szCs w:val="24"/>
        </w:rPr>
        <w:t xml:space="preserve"> In part due to support from Armenia, Nagorno-Karabakh secessionists were able to achieve a certain degr</w:t>
      </w:r>
      <w:r w:rsidR="00AC2EF1" w:rsidRPr="00F62BA4">
        <w:rPr>
          <w:rFonts w:ascii="Times New Roman" w:hAnsi="Times New Roman" w:cs="Times New Roman"/>
          <w:sz w:val="24"/>
          <w:szCs w:val="24"/>
        </w:rPr>
        <w:t>ee of governance during the war in addition to holding its declared territories.</w:t>
      </w:r>
    </w:p>
    <w:p w:rsidR="00C02AA9" w:rsidRPr="00F62BA4" w:rsidRDefault="00C02AA9" w:rsidP="004B3AAD">
      <w:pPr>
        <w:rPr>
          <w:rFonts w:ascii="Times New Roman" w:hAnsi="Times New Roman" w:cs="Times New Roman"/>
          <w:sz w:val="24"/>
          <w:szCs w:val="24"/>
        </w:rPr>
      </w:pPr>
      <w:r w:rsidRPr="00F62BA4">
        <w:rPr>
          <w:rFonts w:ascii="Times New Roman" w:hAnsi="Times New Roman" w:cs="Times New Roman"/>
          <w:sz w:val="24"/>
          <w:szCs w:val="24"/>
        </w:rPr>
        <w:tab/>
        <w:t>Although some have argued that this was spurred by international pressure, Nagorno-Karabakh Armenians did hold elections for their newly created parliament beginning in 1992</w:t>
      </w:r>
      <w:r w:rsidR="00CC6485"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26"/>
      </w:r>
      <w:r w:rsidR="00CC6485" w:rsidRPr="00F62BA4">
        <w:rPr>
          <w:rFonts w:ascii="Times New Roman" w:hAnsi="Times New Roman" w:cs="Times New Roman"/>
          <w:sz w:val="24"/>
          <w:szCs w:val="24"/>
        </w:rPr>
        <w:t xml:space="preserve"> although direct presidential elections did not take place until after the war’s end.</w:t>
      </w:r>
      <w:r w:rsidR="00CC6485" w:rsidRPr="00F62BA4">
        <w:rPr>
          <w:rStyle w:val="FootnoteReference"/>
          <w:rFonts w:ascii="Times New Roman" w:hAnsi="Times New Roman" w:cs="Times New Roman"/>
          <w:sz w:val="24"/>
          <w:szCs w:val="24"/>
        </w:rPr>
        <w:footnoteReference w:id="27"/>
      </w:r>
      <w:r w:rsidR="00AC2EF1" w:rsidRPr="00F62BA4">
        <w:rPr>
          <w:rFonts w:ascii="Times New Roman" w:hAnsi="Times New Roman" w:cs="Times New Roman"/>
          <w:sz w:val="24"/>
          <w:szCs w:val="24"/>
        </w:rPr>
        <w:t xml:space="preserve"> In spite of these elections (and its de-facto control and administration of its territory), formal recognition has not been forthcoming.</w:t>
      </w:r>
      <w:r w:rsidR="00AC2EF1" w:rsidRPr="00F62BA4">
        <w:rPr>
          <w:rStyle w:val="FootnoteReference"/>
          <w:rFonts w:ascii="Times New Roman" w:hAnsi="Times New Roman" w:cs="Times New Roman"/>
          <w:sz w:val="24"/>
          <w:szCs w:val="24"/>
        </w:rPr>
        <w:footnoteReference w:id="28"/>
      </w:r>
      <w:r w:rsidR="00A56F58" w:rsidRPr="00F62BA4">
        <w:rPr>
          <w:rFonts w:ascii="Times New Roman" w:hAnsi="Times New Roman" w:cs="Times New Roman"/>
          <w:sz w:val="24"/>
          <w:szCs w:val="24"/>
        </w:rPr>
        <w:t xml:space="preserve"> </w:t>
      </w:r>
      <w:r w:rsidR="005B1032">
        <w:rPr>
          <w:rFonts w:ascii="Times New Roman" w:hAnsi="Times New Roman" w:cs="Times New Roman"/>
          <w:sz w:val="24"/>
          <w:szCs w:val="24"/>
        </w:rPr>
        <w:t>Consultative instruments</w:t>
      </w:r>
      <w:r w:rsidR="00A56F58" w:rsidRPr="00F62BA4">
        <w:rPr>
          <w:rFonts w:ascii="Times New Roman" w:hAnsi="Times New Roman" w:cs="Times New Roman"/>
          <w:sz w:val="24"/>
          <w:szCs w:val="24"/>
        </w:rPr>
        <w:t xml:space="preserve"> also manifested themselves as</w:t>
      </w:r>
      <w:r w:rsidR="00B07346" w:rsidRPr="00F62BA4">
        <w:rPr>
          <w:rFonts w:ascii="Times New Roman" w:hAnsi="Times New Roman" w:cs="Times New Roman"/>
          <w:sz w:val="24"/>
          <w:szCs w:val="24"/>
        </w:rPr>
        <w:t xml:space="preserve"> secessionists conducted</w:t>
      </w:r>
      <w:r w:rsidR="00A56F58" w:rsidRPr="00F62BA4">
        <w:rPr>
          <w:rFonts w:ascii="Times New Roman" w:hAnsi="Times New Roman" w:cs="Times New Roman"/>
          <w:sz w:val="24"/>
          <w:szCs w:val="24"/>
        </w:rPr>
        <w:t xml:space="preserve"> a much ballyhooed independence referendum in late 1991. The vote was overwhelmingly in favor of secession, although it is worth noting that Azerbaijanis boycotted the referendum.</w:t>
      </w:r>
      <w:r w:rsidR="00A56F58" w:rsidRPr="00F62BA4">
        <w:rPr>
          <w:rStyle w:val="FootnoteReference"/>
          <w:rFonts w:ascii="Times New Roman" w:hAnsi="Times New Roman" w:cs="Times New Roman"/>
          <w:sz w:val="24"/>
          <w:szCs w:val="24"/>
        </w:rPr>
        <w:footnoteReference w:id="29"/>
      </w:r>
      <w:r w:rsidR="006A4B66" w:rsidRPr="00F62BA4">
        <w:rPr>
          <w:rFonts w:ascii="Times New Roman" w:hAnsi="Times New Roman" w:cs="Times New Roman"/>
          <w:sz w:val="24"/>
          <w:szCs w:val="24"/>
        </w:rPr>
        <w:t xml:space="preserve"> Further diminishing these wartime achievements is the fact that the first elements of NKR’s parallel government manifested themselves well before the war commenced, meaning that the NKR was a rebel government before it was, technically, a rebellious organization.</w:t>
      </w:r>
      <w:r w:rsidR="006A4B66" w:rsidRPr="00F62BA4">
        <w:rPr>
          <w:rStyle w:val="FootnoteReference"/>
          <w:rFonts w:ascii="Times New Roman" w:hAnsi="Times New Roman" w:cs="Times New Roman"/>
          <w:sz w:val="24"/>
          <w:szCs w:val="24"/>
        </w:rPr>
        <w:footnoteReference w:id="30"/>
      </w:r>
    </w:p>
    <w:p w:rsidR="009F754B" w:rsidRPr="00F62BA4" w:rsidRDefault="009F754B" w:rsidP="004B3AAD">
      <w:pPr>
        <w:rPr>
          <w:rFonts w:ascii="Times New Roman" w:hAnsi="Times New Roman" w:cs="Times New Roman"/>
          <w:sz w:val="24"/>
          <w:szCs w:val="24"/>
        </w:rPr>
      </w:pPr>
      <w:r w:rsidRPr="00F62BA4">
        <w:rPr>
          <w:rFonts w:ascii="Times New Roman" w:hAnsi="Times New Roman" w:cs="Times New Roman"/>
          <w:sz w:val="24"/>
          <w:szCs w:val="24"/>
        </w:rPr>
        <w:tab/>
        <w:t>Nagorno-Karabakh Armenians also maintained a police force which was clearly distinct from its military.</w:t>
      </w:r>
      <w:r w:rsidRPr="00F62BA4">
        <w:rPr>
          <w:rStyle w:val="FootnoteReference"/>
          <w:rFonts w:ascii="Times New Roman" w:hAnsi="Times New Roman" w:cs="Times New Roman"/>
          <w:sz w:val="24"/>
          <w:szCs w:val="24"/>
        </w:rPr>
        <w:footnoteReference w:id="31"/>
      </w:r>
      <w:r w:rsidR="004551C0" w:rsidRPr="00F62BA4">
        <w:rPr>
          <w:rFonts w:ascii="Times New Roman" w:hAnsi="Times New Roman" w:cs="Times New Roman"/>
          <w:sz w:val="24"/>
          <w:szCs w:val="24"/>
        </w:rPr>
        <w:t xml:space="preserve"> </w:t>
      </w:r>
      <w:r w:rsidR="00CC6485" w:rsidRPr="00F62BA4">
        <w:rPr>
          <w:rFonts w:ascii="Times New Roman" w:hAnsi="Times New Roman" w:cs="Times New Roman"/>
          <w:sz w:val="24"/>
          <w:szCs w:val="24"/>
        </w:rPr>
        <w:t xml:space="preserve"> </w:t>
      </w:r>
      <w:r w:rsidR="00212C09" w:rsidRPr="00F62BA4">
        <w:rPr>
          <w:rFonts w:ascii="Times New Roman" w:hAnsi="Times New Roman" w:cs="Times New Roman"/>
          <w:sz w:val="24"/>
          <w:szCs w:val="24"/>
        </w:rPr>
        <w:t xml:space="preserve">However, the military enjoyed pride of place which allowed for occasional </w:t>
      </w:r>
      <w:r w:rsidR="00212C09" w:rsidRPr="00F62BA4">
        <w:rPr>
          <w:rFonts w:ascii="Times New Roman" w:hAnsi="Times New Roman" w:cs="Times New Roman"/>
          <w:sz w:val="24"/>
          <w:szCs w:val="24"/>
        </w:rPr>
        <w:lastRenderedPageBreak/>
        <w:t>improprieties—and not simply because of the war. Armenian assistance meant that the army was perhaps the best organized element of the emerging secessionist republic.</w:t>
      </w:r>
      <w:r w:rsidR="00212C09" w:rsidRPr="00F62BA4">
        <w:rPr>
          <w:rStyle w:val="FootnoteReference"/>
          <w:rFonts w:ascii="Times New Roman" w:hAnsi="Times New Roman" w:cs="Times New Roman"/>
          <w:sz w:val="24"/>
          <w:szCs w:val="24"/>
        </w:rPr>
        <w:footnoteReference w:id="32"/>
      </w:r>
      <w:r w:rsidR="004551C0" w:rsidRPr="00F62BA4">
        <w:rPr>
          <w:rFonts w:ascii="Times New Roman" w:hAnsi="Times New Roman" w:cs="Times New Roman"/>
          <w:sz w:val="24"/>
          <w:szCs w:val="24"/>
        </w:rPr>
        <w:t xml:space="preserve"> </w:t>
      </w:r>
    </w:p>
    <w:p w:rsidR="00B07346" w:rsidRPr="00F62BA4" w:rsidRDefault="00B07346" w:rsidP="006D0328">
      <w:pPr>
        <w:rPr>
          <w:rFonts w:ascii="Times New Roman" w:hAnsi="Times New Roman" w:cs="Times New Roman"/>
          <w:b/>
          <w:sz w:val="24"/>
          <w:szCs w:val="24"/>
        </w:rPr>
      </w:pPr>
      <w:r w:rsidRPr="00F62BA4">
        <w:rPr>
          <w:rFonts w:ascii="Times New Roman" w:hAnsi="Times New Roman" w:cs="Times New Roman"/>
          <w:b/>
          <w:sz w:val="24"/>
          <w:szCs w:val="24"/>
        </w:rPr>
        <w:t>Bosnia (1992-1995)</w:t>
      </w:r>
    </w:p>
    <w:p w:rsidR="00B07346" w:rsidRPr="00F62BA4" w:rsidRDefault="00D035B5" w:rsidP="006D0328">
      <w:pPr>
        <w:rPr>
          <w:rFonts w:ascii="Times New Roman" w:hAnsi="Times New Roman" w:cs="Times New Roman"/>
          <w:sz w:val="24"/>
          <w:szCs w:val="24"/>
        </w:rPr>
      </w:pPr>
      <w:r w:rsidRPr="00F62BA4">
        <w:rPr>
          <w:rFonts w:ascii="Times New Roman" w:hAnsi="Times New Roman" w:cs="Times New Roman"/>
          <w:sz w:val="24"/>
          <w:szCs w:val="24"/>
        </w:rPr>
        <w:t>Rebels / Incumbents: Republika Srpska / Bosnia-Herzegovina</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EA2571" w:rsidRPr="00F62BA4" w:rsidRDefault="00D035B5" w:rsidP="006D0328">
      <w:pPr>
        <w:rPr>
          <w:rFonts w:ascii="Times New Roman" w:hAnsi="Times New Roman" w:cs="Times New Roman"/>
          <w:sz w:val="24"/>
          <w:szCs w:val="24"/>
        </w:rPr>
      </w:pPr>
      <w:r w:rsidRPr="00F62BA4">
        <w:rPr>
          <w:rFonts w:ascii="Times New Roman" w:hAnsi="Times New Roman" w:cs="Times New Roman"/>
          <w:sz w:val="24"/>
          <w:szCs w:val="24"/>
        </w:rPr>
        <w:tab/>
        <w:t>The Bosnian War was not so much a civil war as it was a series of civil wars. One such conflict was that which manifested itself in the newly independent Bosnia and its secessionist (and perhaps annexation-minded) Serbian minority. With the aid of also-independent Serbia and what remained of the Yugoslav infrastructure, Bosnia’s secessionist Serbs were in a position to make substantial gains quickly from early</w:t>
      </w:r>
      <w:r w:rsidR="00EA2571" w:rsidRPr="00F62BA4">
        <w:rPr>
          <w:rFonts w:ascii="Times New Roman" w:hAnsi="Times New Roman" w:cs="Times New Roman"/>
          <w:sz w:val="24"/>
          <w:szCs w:val="24"/>
        </w:rPr>
        <w:t xml:space="preserve"> on in the conflict.</w:t>
      </w:r>
      <w:r w:rsidR="00EA2571" w:rsidRPr="00F62BA4">
        <w:rPr>
          <w:rStyle w:val="FootnoteReference"/>
          <w:rFonts w:ascii="Times New Roman" w:hAnsi="Times New Roman" w:cs="Times New Roman"/>
          <w:sz w:val="24"/>
          <w:szCs w:val="24"/>
        </w:rPr>
        <w:footnoteReference w:id="33"/>
      </w:r>
    </w:p>
    <w:p w:rsidR="003B18E7" w:rsidRPr="00F62BA4" w:rsidRDefault="00EA2571" w:rsidP="006D0328">
      <w:pPr>
        <w:rPr>
          <w:rFonts w:ascii="Times New Roman" w:hAnsi="Times New Roman" w:cs="Times New Roman"/>
          <w:sz w:val="24"/>
          <w:szCs w:val="24"/>
        </w:rPr>
      </w:pPr>
      <w:r w:rsidRPr="00F62BA4">
        <w:rPr>
          <w:rFonts w:ascii="Times New Roman" w:hAnsi="Times New Roman" w:cs="Times New Roman"/>
          <w:sz w:val="24"/>
          <w:szCs w:val="24"/>
        </w:rPr>
        <w:tab/>
      </w:r>
      <w:r w:rsidR="00D02628" w:rsidRPr="00F62BA4">
        <w:rPr>
          <w:rFonts w:ascii="Times New Roman" w:hAnsi="Times New Roman" w:cs="Times New Roman"/>
          <w:sz w:val="24"/>
          <w:szCs w:val="24"/>
        </w:rPr>
        <w:t>While the territorial gains did not quite match this advantageous position,</w:t>
      </w:r>
      <w:r w:rsidR="00D02628" w:rsidRPr="00F62BA4">
        <w:rPr>
          <w:rStyle w:val="FootnoteReference"/>
          <w:rFonts w:ascii="Times New Roman" w:hAnsi="Times New Roman" w:cs="Times New Roman"/>
          <w:sz w:val="24"/>
          <w:szCs w:val="24"/>
        </w:rPr>
        <w:footnoteReference w:id="34"/>
      </w:r>
      <w:r w:rsidR="00D02628" w:rsidRPr="00F62BA4">
        <w:rPr>
          <w:rFonts w:ascii="Times New Roman" w:hAnsi="Times New Roman" w:cs="Times New Roman"/>
          <w:sz w:val="24"/>
          <w:szCs w:val="24"/>
        </w:rPr>
        <w:t xml:space="preserve"> it is still somewhat surprising that the secessionist state did not establish itself as a state during the conflict. Policing functions were particularly desultory</w:t>
      </w:r>
      <w:r w:rsidR="00685AD3" w:rsidRPr="00F62BA4">
        <w:rPr>
          <w:rFonts w:ascii="Times New Roman" w:hAnsi="Times New Roman" w:cs="Times New Roman"/>
          <w:sz w:val="24"/>
          <w:szCs w:val="24"/>
        </w:rPr>
        <w:t xml:space="preserve">, </w:t>
      </w:r>
      <w:r w:rsidR="00D02628" w:rsidRPr="00F62BA4">
        <w:rPr>
          <w:rFonts w:ascii="Times New Roman" w:hAnsi="Times New Roman" w:cs="Times New Roman"/>
          <w:sz w:val="24"/>
          <w:szCs w:val="24"/>
        </w:rPr>
        <w:t>even in the wake of the conflict</w:t>
      </w:r>
      <w:r w:rsidR="00685AD3" w:rsidRPr="00F62BA4">
        <w:rPr>
          <w:rFonts w:ascii="Times New Roman" w:hAnsi="Times New Roman" w:cs="Times New Roman"/>
          <w:sz w:val="24"/>
          <w:szCs w:val="24"/>
        </w:rPr>
        <w:t>.</w:t>
      </w:r>
      <w:r w:rsidR="00685AD3" w:rsidRPr="00F62BA4">
        <w:rPr>
          <w:rStyle w:val="FootnoteReference"/>
          <w:rFonts w:ascii="Times New Roman" w:hAnsi="Times New Roman" w:cs="Times New Roman"/>
          <w:sz w:val="24"/>
          <w:szCs w:val="24"/>
        </w:rPr>
        <w:footnoteReference w:id="35"/>
      </w:r>
      <w:r w:rsidR="002D58A5" w:rsidRPr="00F62BA4">
        <w:rPr>
          <w:rFonts w:ascii="Times New Roman" w:hAnsi="Times New Roman" w:cs="Times New Roman"/>
          <w:sz w:val="24"/>
          <w:szCs w:val="24"/>
        </w:rPr>
        <w:t xml:space="preserve"> </w:t>
      </w:r>
      <w:r w:rsidR="003B18E7" w:rsidRPr="00F62BA4">
        <w:rPr>
          <w:rFonts w:ascii="Times New Roman" w:hAnsi="Times New Roman" w:cs="Times New Roman"/>
          <w:sz w:val="24"/>
          <w:szCs w:val="24"/>
        </w:rPr>
        <w:t>Similarly, Repu</w:t>
      </w:r>
      <w:r w:rsidR="00DF47E6" w:rsidRPr="00F62BA4">
        <w:rPr>
          <w:rFonts w:ascii="Times New Roman" w:hAnsi="Times New Roman" w:cs="Times New Roman"/>
          <w:sz w:val="24"/>
          <w:szCs w:val="24"/>
        </w:rPr>
        <w:t xml:space="preserve">blika Srpska </w:t>
      </w:r>
      <w:r w:rsidR="00D304C9" w:rsidRPr="00F62BA4">
        <w:rPr>
          <w:rFonts w:ascii="Times New Roman" w:hAnsi="Times New Roman" w:cs="Times New Roman"/>
          <w:sz w:val="24"/>
          <w:szCs w:val="24"/>
        </w:rPr>
        <w:t>did not conduct any free elections during the conflict, in spite of its claims to represent the interests of Bosnian Serbs.</w:t>
      </w:r>
      <w:r w:rsidR="00D304C9" w:rsidRPr="00F62BA4">
        <w:rPr>
          <w:rStyle w:val="FootnoteReference"/>
          <w:rFonts w:ascii="Times New Roman" w:hAnsi="Times New Roman" w:cs="Times New Roman"/>
          <w:sz w:val="24"/>
          <w:szCs w:val="24"/>
        </w:rPr>
        <w:footnoteReference w:id="36"/>
      </w:r>
      <w:r w:rsidR="002D58A5" w:rsidRPr="00F62BA4">
        <w:rPr>
          <w:rFonts w:ascii="Times New Roman" w:hAnsi="Times New Roman" w:cs="Times New Roman"/>
          <w:sz w:val="24"/>
          <w:szCs w:val="24"/>
        </w:rPr>
        <w:t xml:space="preserve"> Whil</w:t>
      </w:r>
      <w:r w:rsidR="001B63C4" w:rsidRPr="00F62BA4">
        <w:rPr>
          <w:rFonts w:ascii="Times New Roman" w:hAnsi="Times New Roman" w:cs="Times New Roman"/>
          <w:sz w:val="24"/>
          <w:szCs w:val="24"/>
        </w:rPr>
        <w:t>e Bosniak authorities made some efforts</w:t>
      </w:r>
      <w:r w:rsidR="002D58A5" w:rsidRPr="00F62BA4">
        <w:rPr>
          <w:rFonts w:ascii="Times New Roman" w:hAnsi="Times New Roman" w:cs="Times New Roman"/>
          <w:sz w:val="24"/>
          <w:szCs w:val="24"/>
        </w:rPr>
        <w:t xml:space="preserve"> to make education reforms,</w:t>
      </w:r>
      <w:r w:rsidR="00EF4C07" w:rsidRPr="00F62BA4">
        <w:rPr>
          <w:rStyle w:val="FootnoteReference"/>
          <w:rFonts w:ascii="Times New Roman" w:hAnsi="Times New Roman" w:cs="Times New Roman"/>
          <w:sz w:val="24"/>
          <w:szCs w:val="24"/>
        </w:rPr>
        <w:footnoteReference w:id="37"/>
      </w:r>
      <w:r w:rsidR="002D58A5" w:rsidRPr="00F62BA4">
        <w:rPr>
          <w:rFonts w:ascii="Times New Roman" w:hAnsi="Times New Roman" w:cs="Times New Roman"/>
          <w:sz w:val="24"/>
          <w:szCs w:val="24"/>
        </w:rPr>
        <w:t xml:space="preserve"> little evidence</w:t>
      </w:r>
      <w:r w:rsidR="001B63C4" w:rsidRPr="00F62BA4">
        <w:rPr>
          <w:rFonts w:ascii="Times New Roman" w:hAnsi="Times New Roman" w:cs="Times New Roman"/>
          <w:sz w:val="24"/>
          <w:szCs w:val="24"/>
        </w:rPr>
        <w:t xml:space="preserve"> exists</w:t>
      </w:r>
      <w:r w:rsidR="002D58A5" w:rsidRPr="00F62BA4">
        <w:rPr>
          <w:rFonts w:ascii="Times New Roman" w:hAnsi="Times New Roman" w:cs="Times New Roman"/>
          <w:sz w:val="24"/>
          <w:szCs w:val="24"/>
        </w:rPr>
        <w:t xml:space="preserve"> that Republika Srpska </w:t>
      </w:r>
      <w:r w:rsidR="00EF4C07" w:rsidRPr="00F62BA4">
        <w:rPr>
          <w:rFonts w:ascii="Times New Roman" w:hAnsi="Times New Roman" w:cs="Times New Roman"/>
          <w:sz w:val="24"/>
          <w:szCs w:val="24"/>
        </w:rPr>
        <w:t>was interested in producing public goods.</w:t>
      </w:r>
    </w:p>
    <w:p w:rsidR="00B028DA" w:rsidRPr="00F62BA4" w:rsidRDefault="00B028DA" w:rsidP="006D0328">
      <w:pPr>
        <w:rPr>
          <w:rFonts w:ascii="Times New Roman" w:hAnsi="Times New Roman" w:cs="Times New Roman"/>
          <w:b/>
          <w:sz w:val="24"/>
          <w:szCs w:val="24"/>
        </w:rPr>
      </w:pPr>
      <w:r w:rsidRPr="00F62BA4">
        <w:rPr>
          <w:rFonts w:ascii="Times New Roman" w:hAnsi="Times New Roman" w:cs="Times New Roman"/>
          <w:b/>
          <w:sz w:val="24"/>
          <w:szCs w:val="24"/>
        </w:rPr>
        <w:t>Burma/Myanmar (1948-1989)</w:t>
      </w:r>
    </w:p>
    <w:p w:rsidR="00B028DA" w:rsidRPr="00F62BA4" w:rsidRDefault="00B028DA" w:rsidP="006D0328">
      <w:pPr>
        <w:rPr>
          <w:rFonts w:ascii="Times New Roman" w:hAnsi="Times New Roman" w:cs="Times New Roman"/>
          <w:sz w:val="24"/>
          <w:szCs w:val="24"/>
        </w:rPr>
      </w:pPr>
      <w:r w:rsidRPr="00F62BA4">
        <w:rPr>
          <w:rFonts w:ascii="Times New Roman" w:hAnsi="Times New Roman" w:cs="Times New Roman"/>
          <w:sz w:val="24"/>
          <w:szCs w:val="24"/>
        </w:rPr>
        <w:t>Rebels / Incumbents: Communist Party of Burma (CPB) / Union of Burma (until 1962); Burma (thereafter)</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B028DA" w:rsidRPr="00F62BA4" w:rsidRDefault="00B028DA" w:rsidP="006D0328">
      <w:pPr>
        <w:rPr>
          <w:rFonts w:ascii="Times New Roman" w:hAnsi="Times New Roman" w:cs="Times New Roman"/>
          <w:sz w:val="24"/>
          <w:szCs w:val="24"/>
        </w:rPr>
      </w:pPr>
      <w:r w:rsidRPr="00F62BA4">
        <w:rPr>
          <w:rFonts w:ascii="Times New Roman" w:hAnsi="Times New Roman" w:cs="Times New Roman"/>
          <w:sz w:val="24"/>
          <w:szCs w:val="24"/>
        </w:rPr>
        <w:tab/>
        <w:t>The CPB began operations in the country as soon as Burma secured its independence from Great Britain.</w:t>
      </w:r>
      <w:r w:rsidR="00F16F3B" w:rsidRPr="00F62BA4">
        <w:rPr>
          <w:rStyle w:val="FootnoteReference"/>
          <w:rFonts w:ascii="Times New Roman" w:hAnsi="Times New Roman" w:cs="Times New Roman"/>
          <w:sz w:val="24"/>
          <w:szCs w:val="24"/>
        </w:rPr>
        <w:footnoteReference w:id="38"/>
      </w:r>
      <w:r w:rsidR="00B655E9" w:rsidRPr="00F62BA4">
        <w:rPr>
          <w:rFonts w:ascii="Times New Roman" w:hAnsi="Times New Roman" w:cs="Times New Roman"/>
          <w:sz w:val="24"/>
          <w:szCs w:val="24"/>
        </w:rPr>
        <w:t xml:space="preserve"> This presented the fledgling country with a profound challenge, particularly given the ethnic resentments which also began to manifest itself at independence.</w:t>
      </w:r>
      <w:r w:rsidR="00B655E9" w:rsidRPr="00F62BA4">
        <w:rPr>
          <w:rStyle w:val="FootnoteReference"/>
          <w:rFonts w:ascii="Times New Roman" w:hAnsi="Times New Roman" w:cs="Times New Roman"/>
          <w:sz w:val="24"/>
          <w:szCs w:val="24"/>
        </w:rPr>
        <w:footnoteReference w:id="39"/>
      </w:r>
      <w:r w:rsidR="00B655E9" w:rsidRPr="00F62BA4">
        <w:rPr>
          <w:rFonts w:ascii="Times New Roman" w:hAnsi="Times New Roman" w:cs="Times New Roman"/>
          <w:sz w:val="24"/>
          <w:szCs w:val="24"/>
        </w:rPr>
        <w:t xml:space="preserve"> CPB’s </w:t>
      </w:r>
      <w:r w:rsidR="00B655E9" w:rsidRPr="00F62BA4">
        <w:rPr>
          <w:rFonts w:ascii="Times New Roman" w:hAnsi="Times New Roman" w:cs="Times New Roman"/>
          <w:sz w:val="24"/>
          <w:szCs w:val="24"/>
        </w:rPr>
        <w:lastRenderedPageBreak/>
        <w:t>“invasion” of Burma did not formally begin until some years after Ne Win’s coup established a military dictatorship in the country, though.</w:t>
      </w:r>
    </w:p>
    <w:p w:rsidR="00D15A08" w:rsidRPr="00F62BA4" w:rsidRDefault="007221A8" w:rsidP="006D0328">
      <w:pPr>
        <w:rPr>
          <w:rFonts w:ascii="Times New Roman" w:hAnsi="Times New Roman" w:cs="Times New Roman"/>
          <w:sz w:val="24"/>
          <w:szCs w:val="24"/>
        </w:rPr>
      </w:pPr>
      <w:r w:rsidRPr="00F62BA4">
        <w:rPr>
          <w:rFonts w:ascii="Times New Roman" w:hAnsi="Times New Roman" w:cs="Times New Roman"/>
          <w:sz w:val="24"/>
          <w:szCs w:val="24"/>
        </w:rPr>
        <w:tab/>
        <w:t>The CPB relied heavily on Chinese patronage, but it had a relatively well-articulated ideology and ultimate agenda.</w:t>
      </w:r>
      <w:r w:rsidRPr="00F62BA4">
        <w:rPr>
          <w:rStyle w:val="FootnoteReference"/>
          <w:rFonts w:ascii="Times New Roman" w:hAnsi="Times New Roman" w:cs="Times New Roman"/>
          <w:sz w:val="24"/>
          <w:szCs w:val="24"/>
        </w:rPr>
        <w:footnoteReference w:id="40"/>
      </w:r>
      <w:r w:rsidRPr="00F62BA4">
        <w:rPr>
          <w:rFonts w:ascii="Times New Roman" w:hAnsi="Times New Roman" w:cs="Times New Roman"/>
          <w:sz w:val="24"/>
          <w:szCs w:val="24"/>
        </w:rPr>
        <w:t>At independence, they adopted a distinctly Leninist footing—their goal was to lead a popular revolution to destroy the Burmese state so it could be remade in the CPB’s image. To support this end, t</w:t>
      </w:r>
      <w:r w:rsidR="00B655E9" w:rsidRPr="00F62BA4">
        <w:rPr>
          <w:rFonts w:ascii="Times New Roman" w:hAnsi="Times New Roman" w:cs="Times New Roman"/>
          <w:sz w:val="24"/>
          <w:szCs w:val="24"/>
        </w:rPr>
        <w:t xml:space="preserve">he organization </w:t>
      </w:r>
      <w:r w:rsidRPr="00F62BA4">
        <w:rPr>
          <w:rFonts w:ascii="Times New Roman" w:hAnsi="Times New Roman" w:cs="Times New Roman"/>
          <w:sz w:val="24"/>
          <w:szCs w:val="24"/>
        </w:rPr>
        <w:t>developed</w:t>
      </w:r>
      <w:r w:rsidR="00D15A08" w:rsidRPr="00F62BA4">
        <w:rPr>
          <w:rFonts w:ascii="Times New Roman" w:hAnsi="Times New Roman" w:cs="Times New Roman"/>
          <w:sz w:val="24"/>
          <w:szCs w:val="24"/>
        </w:rPr>
        <w:t xml:space="preserve"> an impressive array of mass mobilization organizations and a more or less functional taxation system.</w:t>
      </w:r>
      <w:r w:rsidR="00D15A08" w:rsidRPr="00F62BA4">
        <w:rPr>
          <w:rStyle w:val="FootnoteReference"/>
          <w:rFonts w:ascii="Times New Roman" w:hAnsi="Times New Roman" w:cs="Times New Roman"/>
          <w:sz w:val="24"/>
          <w:szCs w:val="24"/>
        </w:rPr>
        <w:footnoteReference w:id="41"/>
      </w:r>
      <w:r w:rsidR="00D15A08" w:rsidRPr="00F62BA4">
        <w:rPr>
          <w:rFonts w:ascii="Times New Roman" w:hAnsi="Times New Roman" w:cs="Times New Roman"/>
          <w:sz w:val="24"/>
          <w:szCs w:val="24"/>
        </w:rPr>
        <w:t xml:space="preserve"> Unfortunately, its mobilization efforts produced little effect beyond impressive membership lists. Indeed, once Chinese patronage faltered, the group’s non-revenue collection</w:t>
      </w:r>
      <w:r w:rsidR="00800CA5" w:rsidRPr="00F62BA4">
        <w:rPr>
          <w:rFonts w:ascii="Times New Roman" w:hAnsi="Times New Roman" w:cs="Times New Roman"/>
          <w:sz w:val="24"/>
          <w:szCs w:val="24"/>
        </w:rPr>
        <w:t xml:space="preserve"> political</w:t>
      </w:r>
      <w:r w:rsidR="00D15A08" w:rsidRPr="00F62BA4">
        <w:rPr>
          <w:rFonts w:ascii="Times New Roman" w:hAnsi="Times New Roman" w:cs="Times New Roman"/>
          <w:sz w:val="24"/>
          <w:szCs w:val="24"/>
        </w:rPr>
        <w:t xml:space="preserve"> fun</w:t>
      </w:r>
      <w:r w:rsidRPr="00F62BA4">
        <w:rPr>
          <w:rFonts w:ascii="Times New Roman" w:hAnsi="Times New Roman" w:cs="Times New Roman"/>
          <w:sz w:val="24"/>
          <w:szCs w:val="24"/>
        </w:rPr>
        <w:t>ctions ceased to operate in any meaningful fashion.</w:t>
      </w:r>
    </w:p>
    <w:p w:rsidR="007221A8" w:rsidRPr="00F62BA4" w:rsidRDefault="00800CA5" w:rsidP="006D0328">
      <w:pPr>
        <w:rPr>
          <w:rFonts w:ascii="Times New Roman" w:hAnsi="Times New Roman" w:cs="Times New Roman"/>
          <w:sz w:val="24"/>
          <w:szCs w:val="24"/>
        </w:rPr>
      </w:pPr>
      <w:r w:rsidRPr="00F62BA4">
        <w:rPr>
          <w:rFonts w:ascii="Times New Roman" w:hAnsi="Times New Roman" w:cs="Times New Roman"/>
          <w:sz w:val="24"/>
          <w:szCs w:val="24"/>
        </w:rPr>
        <w:tab/>
      </w:r>
      <w:r w:rsidR="00210204" w:rsidRPr="00F62BA4">
        <w:rPr>
          <w:rFonts w:ascii="Times New Roman" w:hAnsi="Times New Roman" w:cs="Times New Roman"/>
          <w:sz w:val="24"/>
          <w:szCs w:val="24"/>
        </w:rPr>
        <w:t>In spite of the group’s size and (at least nominal) support,</w:t>
      </w:r>
      <w:r w:rsidR="00210204" w:rsidRPr="00F62BA4">
        <w:rPr>
          <w:rStyle w:val="FootnoteReference"/>
          <w:rFonts w:ascii="Times New Roman" w:hAnsi="Times New Roman" w:cs="Times New Roman"/>
          <w:sz w:val="24"/>
          <w:szCs w:val="24"/>
        </w:rPr>
        <w:footnoteReference w:id="42"/>
      </w:r>
      <w:r w:rsidR="00210204" w:rsidRPr="00F62BA4">
        <w:rPr>
          <w:rFonts w:ascii="Times New Roman" w:hAnsi="Times New Roman" w:cs="Times New Roman"/>
          <w:sz w:val="24"/>
          <w:szCs w:val="24"/>
        </w:rPr>
        <w:t xml:space="preserve"> the group privileged military gains over political developments in their controlled territories.</w:t>
      </w:r>
      <w:r w:rsidR="00210204" w:rsidRPr="00F62BA4">
        <w:rPr>
          <w:rStyle w:val="FootnoteReference"/>
          <w:rFonts w:ascii="Times New Roman" w:hAnsi="Times New Roman" w:cs="Times New Roman"/>
          <w:sz w:val="24"/>
          <w:szCs w:val="24"/>
        </w:rPr>
        <w:footnoteReference w:id="43"/>
      </w:r>
      <w:r w:rsidR="00C413EA" w:rsidRPr="00F62BA4">
        <w:rPr>
          <w:rFonts w:ascii="Times New Roman" w:hAnsi="Times New Roman" w:cs="Times New Roman"/>
          <w:sz w:val="24"/>
          <w:szCs w:val="24"/>
        </w:rPr>
        <w:t xml:space="preserve"> The group faltered militarily after China withdrew its support, especially as the Burmese military stepped up anti-insurgent operations in the wake of the 8888 campaign. After a string of </w:t>
      </w:r>
      <w:r w:rsidR="00976A66" w:rsidRPr="00F62BA4">
        <w:rPr>
          <w:rFonts w:ascii="Times New Roman" w:hAnsi="Times New Roman" w:cs="Times New Roman"/>
          <w:sz w:val="24"/>
          <w:szCs w:val="24"/>
        </w:rPr>
        <w:t>defeats, the CPB collapsed in 1989. Interestingly, the CPB’s acquisitiveness reveals itself in the groups that sprang up from the group’s dissolution, as these groups focused increasingly on profiting from the drug trade.</w:t>
      </w:r>
      <w:r w:rsidR="00976A66" w:rsidRPr="00F62BA4">
        <w:rPr>
          <w:rStyle w:val="FootnoteReference"/>
          <w:rFonts w:ascii="Times New Roman" w:hAnsi="Times New Roman" w:cs="Times New Roman"/>
          <w:sz w:val="24"/>
          <w:szCs w:val="24"/>
        </w:rPr>
        <w:t xml:space="preserve"> </w:t>
      </w:r>
      <w:r w:rsidR="00976A66" w:rsidRPr="00F62BA4">
        <w:rPr>
          <w:rStyle w:val="FootnoteReference"/>
          <w:rFonts w:ascii="Times New Roman" w:hAnsi="Times New Roman" w:cs="Times New Roman"/>
          <w:sz w:val="24"/>
          <w:szCs w:val="24"/>
        </w:rPr>
        <w:footnoteReference w:id="44"/>
      </w:r>
    </w:p>
    <w:p w:rsidR="00B028DA" w:rsidRPr="00F62BA4" w:rsidRDefault="00B028DA" w:rsidP="00B028DA">
      <w:pPr>
        <w:rPr>
          <w:rFonts w:ascii="Times New Roman" w:hAnsi="Times New Roman" w:cs="Times New Roman"/>
          <w:b/>
          <w:sz w:val="24"/>
          <w:szCs w:val="24"/>
        </w:rPr>
      </w:pPr>
      <w:r w:rsidRPr="00F62BA4">
        <w:rPr>
          <w:rFonts w:ascii="Times New Roman" w:hAnsi="Times New Roman" w:cs="Times New Roman"/>
          <w:b/>
          <w:sz w:val="24"/>
          <w:szCs w:val="24"/>
        </w:rPr>
        <w:t>Burma (1960-1995)</w:t>
      </w:r>
    </w:p>
    <w:p w:rsidR="00B028DA" w:rsidRPr="00F62BA4" w:rsidRDefault="00B028DA" w:rsidP="00B028DA">
      <w:pPr>
        <w:rPr>
          <w:rFonts w:ascii="Times New Roman" w:hAnsi="Times New Roman" w:cs="Times New Roman"/>
          <w:sz w:val="24"/>
          <w:szCs w:val="24"/>
        </w:rPr>
      </w:pPr>
      <w:r w:rsidRPr="00F62BA4">
        <w:rPr>
          <w:rFonts w:ascii="Times New Roman" w:hAnsi="Times New Roman" w:cs="Times New Roman"/>
          <w:sz w:val="24"/>
          <w:szCs w:val="24"/>
        </w:rPr>
        <w:t>Rebels / Incumbents: Ethnic insurgent movements</w:t>
      </w:r>
      <w:r w:rsidR="0037492B" w:rsidRPr="00F62BA4">
        <w:rPr>
          <w:rFonts w:ascii="Times New Roman" w:hAnsi="Times New Roman" w:cs="Times New Roman"/>
          <w:sz w:val="24"/>
          <w:szCs w:val="24"/>
        </w:rPr>
        <w:t xml:space="preserve"> (Some include the Karen National Union (KNU), Kachin Independence Organization (KIO), the New Mon State Party (NMSP), and Shan State Army (SSA))</w:t>
      </w:r>
      <w:r w:rsidRPr="00F62BA4">
        <w:rPr>
          <w:rFonts w:ascii="Times New Roman" w:hAnsi="Times New Roman" w:cs="Times New Roman"/>
          <w:sz w:val="24"/>
          <w:szCs w:val="24"/>
        </w:rPr>
        <w:t xml:space="preserve"> / Union of Burma (until 1962); Burma (thereafter)</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1;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1</w:t>
      </w:r>
    </w:p>
    <w:p w:rsidR="0037492B" w:rsidRPr="00F62BA4" w:rsidRDefault="0037492B" w:rsidP="00B028DA">
      <w:pPr>
        <w:rPr>
          <w:rFonts w:ascii="Times New Roman" w:hAnsi="Times New Roman" w:cs="Times New Roman"/>
          <w:sz w:val="24"/>
          <w:szCs w:val="24"/>
        </w:rPr>
      </w:pPr>
      <w:r w:rsidRPr="00F62BA4">
        <w:rPr>
          <w:rFonts w:ascii="Times New Roman" w:hAnsi="Times New Roman" w:cs="Times New Roman"/>
          <w:sz w:val="24"/>
          <w:szCs w:val="24"/>
        </w:rPr>
        <w:tab/>
        <w:t>The second of Myanmar’s civil wars in the dataset has its roots around the time that the CPB began fighting, as ethnic resentments precluded the national unity promised by the 1947 constitution.</w:t>
      </w:r>
      <w:r w:rsidRPr="00F62BA4">
        <w:rPr>
          <w:rStyle w:val="FootnoteReference"/>
          <w:rFonts w:ascii="Times New Roman" w:hAnsi="Times New Roman" w:cs="Times New Roman"/>
          <w:sz w:val="24"/>
          <w:szCs w:val="24"/>
        </w:rPr>
        <w:footnoteReference w:id="45"/>
      </w:r>
      <w:r w:rsidR="00030939" w:rsidRPr="00F62BA4">
        <w:rPr>
          <w:rFonts w:ascii="Times New Roman" w:hAnsi="Times New Roman" w:cs="Times New Roman"/>
          <w:sz w:val="24"/>
          <w:szCs w:val="24"/>
        </w:rPr>
        <w:t xml:space="preserve"> These resentments led to the conflict’s reignition</w:t>
      </w:r>
      <w:r w:rsidR="00C975FF" w:rsidRPr="00F62BA4">
        <w:rPr>
          <w:rFonts w:ascii="Times New Roman" w:hAnsi="Times New Roman" w:cs="Times New Roman"/>
          <w:sz w:val="24"/>
          <w:szCs w:val="24"/>
        </w:rPr>
        <w:t xml:space="preserve"> as the Union of Burma began to falter in 1960. Perhaps because of the Burmese state’s inability to administer its hinterlands,</w:t>
      </w:r>
      <w:r w:rsidR="00C975FF" w:rsidRPr="00F62BA4">
        <w:rPr>
          <w:rStyle w:val="FootnoteReference"/>
          <w:rFonts w:ascii="Times New Roman" w:hAnsi="Times New Roman" w:cs="Times New Roman"/>
          <w:sz w:val="24"/>
          <w:szCs w:val="24"/>
        </w:rPr>
        <w:footnoteReference w:id="46"/>
      </w:r>
      <w:r w:rsidR="00C975FF" w:rsidRPr="00F62BA4">
        <w:rPr>
          <w:rFonts w:ascii="Times New Roman" w:hAnsi="Times New Roman" w:cs="Times New Roman"/>
          <w:sz w:val="24"/>
          <w:szCs w:val="24"/>
        </w:rPr>
        <w:t xml:space="preserve"> several rebel movements were able to develop and thrive over course of the 20</w:t>
      </w:r>
      <w:r w:rsidR="00C975FF" w:rsidRPr="00F62BA4">
        <w:rPr>
          <w:rFonts w:ascii="Times New Roman" w:hAnsi="Times New Roman" w:cs="Times New Roman"/>
          <w:sz w:val="24"/>
          <w:szCs w:val="24"/>
          <w:vertAlign w:val="superscript"/>
        </w:rPr>
        <w:t>th</w:t>
      </w:r>
      <w:r w:rsidR="00C975FF" w:rsidRPr="00F62BA4">
        <w:rPr>
          <w:rFonts w:ascii="Times New Roman" w:hAnsi="Times New Roman" w:cs="Times New Roman"/>
          <w:sz w:val="24"/>
          <w:szCs w:val="24"/>
        </w:rPr>
        <w:t xml:space="preserve"> Century’s remainder. Unlike the CPB, some of these groups were successful in providing some of the goods of governance at various times during the conflict.</w:t>
      </w:r>
    </w:p>
    <w:p w:rsidR="00C975FF" w:rsidRPr="00F62BA4" w:rsidRDefault="00C975FF" w:rsidP="00B028DA">
      <w:pPr>
        <w:rPr>
          <w:rFonts w:ascii="Times New Roman" w:hAnsi="Times New Roman" w:cs="Times New Roman"/>
          <w:sz w:val="24"/>
          <w:szCs w:val="24"/>
        </w:rPr>
      </w:pPr>
      <w:r w:rsidRPr="00F62BA4">
        <w:rPr>
          <w:rFonts w:ascii="Times New Roman" w:hAnsi="Times New Roman" w:cs="Times New Roman"/>
          <w:sz w:val="24"/>
          <w:szCs w:val="24"/>
        </w:rPr>
        <w:tab/>
      </w:r>
      <w:r w:rsidR="00397329" w:rsidRPr="00F62BA4">
        <w:rPr>
          <w:rFonts w:ascii="Times New Roman" w:hAnsi="Times New Roman" w:cs="Times New Roman"/>
          <w:sz w:val="24"/>
          <w:szCs w:val="24"/>
        </w:rPr>
        <w:t xml:space="preserve">Terrain and strategy made governance a bit easier for ethnic rebel groups in Burma. While the state waged campaigns against them, the groups themselves were more concerned with </w:t>
      </w:r>
      <w:r w:rsidR="00397329" w:rsidRPr="00F62BA4">
        <w:rPr>
          <w:rFonts w:ascii="Times New Roman" w:hAnsi="Times New Roman" w:cs="Times New Roman"/>
          <w:sz w:val="24"/>
          <w:szCs w:val="24"/>
        </w:rPr>
        <w:lastRenderedPageBreak/>
        <w:t>ridding their territory of Tatmadaw forces. This concern with their own affairs at the expense of seeking the destabilization of Ne Win’s regime allowed many of these groups to establish schools and clinics.</w:t>
      </w:r>
      <w:r w:rsidR="00397329" w:rsidRPr="00F62BA4">
        <w:rPr>
          <w:rStyle w:val="FootnoteReference"/>
          <w:rFonts w:ascii="Times New Roman" w:hAnsi="Times New Roman" w:cs="Times New Roman"/>
          <w:sz w:val="24"/>
          <w:szCs w:val="24"/>
        </w:rPr>
        <w:footnoteReference w:id="47"/>
      </w:r>
      <w:r w:rsidR="000B3A74" w:rsidRPr="00F62BA4">
        <w:rPr>
          <w:rFonts w:ascii="Times New Roman" w:hAnsi="Times New Roman" w:cs="Times New Roman"/>
          <w:sz w:val="24"/>
          <w:szCs w:val="24"/>
        </w:rPr>
        <w:t xml:space="preserve"> The efficacy of public good provision in rebel-controlled territory leaves something to be desired (especially in healthcare) but their establishment bears mentioning all the same.</w:t>
      </w:r>
      <w:r w:rsidR="000B3A74" w:rsidRPr="00F62BA4">
        <w:rPr>
          <w:rStyle w:val="FootnoteReference"/>
          <w:rFonts w:ascii="Times New Roman" w:hAnsi="Times New Roman" w:cs="Times New Roman"/>
          <w:sz w:val="24"/>
          <w:szCs w:val="24"/>
        </w:rPr>
        <w:footnoteReference w:id="48"/>
      </w:r>
      <w:r w:rsidR="00F8239A" w:rsidRPr="00F62BA4">
        <w:rPr>
          <w:rFonts w:ascii="Times New Roman" w:hAnsi="Times New Roman" w:cs="Times New Roman"/>
          <w:sz w:val="24"/>
          <w:szCs w:val="24"/>
        </w:rPr>
        <w:t xml:space="preserve"> Unfortunately, it also led to conflict amongst themselves and the CPB at various points in time.</w:t>
      </w:r>
      <w:r w:rsidR="00F8239A" w:rsidRPr="00F62BA4">
        <w:rPr>
          <w:rStyle w:val="FootnoteReference"/>
          <w:rFonts w:ascii="Times New Roman" w:hAnsi="Times New Roman" w:cs="Times New Roman"/>
          <w:sz w:val="24"/>
          <w:szCs w:val="24"/>
        </w:rPr>
        <w:footnoteReference w:id="49"/>
      </w:r>
    </w:p>
    <w:p w:rsidR="00397329" w:rsidRPr="00F62BA4" w:rsidRDefault="00397329" w:rsidP="00B028DA">
      <w:pPr>
        <w:rPr>
          <w:rFonts w:ascii="Times New Roman" w:hAnsi="Times New Roman" w:cs="Times New Roman"/>
          <w:sz w:val="24"/>
          <w:szCs w:val="24"/>
        </w:rPr>
      </w:pPr>
      <w:r w:rsidRPr="00F62BA4">
        <w:rPr>
          <w:rFonts w:ascii="Times New Roman" w:hAnsi="Times New Roman" w:cs="Times New Roman"/>
          <w:sz w:val="24"/>
          <w:szCs w:val="24"/>
        </w:rPr>
        <w:tab/>
        <w:t>This concern with controlled territory meant that the 8888 uprising was largely a civil society phenomenon; ethnically defined rebel groups largely did not participate.</w:t>
      </w:r>
      <w:r w:rsidRPr="00F62BA4">
        <w:rPr>
          <w:rStyle w:val="FootnoteReference"/>
          <w:rFonts w:ascii="Times New Roman" w:hAnsi="Times New Roman" w:cs="Times New Roman"/>
          <w:sz w:val="24"/>
          <w:szCs w:val="24"/>
        </w:rPr>
        <w:footnoteReference w:id="50"/>
      </w:r>
      <w:r w:rsidR="000D489A" w:rsidRPr="00F62BA4">
        <w:rPr>
          <w:rFonts w:ascii="Times New Roman" w:hAnsi="Times New Roman" w:cs="Times New Roman"/>
          <w:sz w:val="24"/>
          <w:szCs w:val="24"/>
        </w:rPr>
        <w:t xml:space="preserve"> One could more easily argue for the role of ethnic rebels in the 1990 elections, though.</w:t>
      </w:r>
      <w:r w:rsidR="000D489A" w:rsidRPr="00F62BA4">
        <w:rPr>
          <w:rStyle w:val="FootnoteReference"/>
          <w:rFonts w:ascii="Times New Roman" w:hAnsi="Times New Roman" w:cs="Times New Roman"/>
          <w:sz w:val="24"/>
          <w:szCs w:val="24"/>
        </w:rPr>
        <w:footnoteReference w:id="51"/>
      </w:r>
      <w:r w:rsidR="000D489A" w:rsidRPr="00F62BA4">
        <w:rPr>
          <w:rFonts w:ascii="Times New Roman" w:hAnsi="Times New Roman" w:cs="Times New Roman"/>
          <w:sz w:val="24"/>
          <w:szCs w:val="24"/>
        </w:rPr>
        <w:t xml:space="preserve"> Burma’s intelligentsia went underground in the wake of the 8888 uprising, eventually leading to the establishment of the Democratic Alliance of Burma (DAB). The group had a military wing—the National Democratic Front (NDF)—which was made up of 11 ethnically defined groups</w:t>
      </w:r>
      <w:r w:rsidR="00235868" w:rsidRPr="00F62BA4">
        <w:rPr>
          <w:rFonts w:ascii="Times New Roman" w:hAnsi="Times New Roman" w:cs="Times New Roman"/>
          <w:sz w:val="24"/>
          <w:szCs w:val="24"/>
        </w:rPr>
        <w:t xml:space="preserve"> formed much earlier</w:t>
      </w:r>
      <w:r w:rsidR="000D489A" w:rsidRPr="00F62BA4">
        <w:rPr>
          <w:rFonts w:ascii="Times New Roman" w:hAnsi="Times New Roman" w:cs="Times New Roman"/>
          <w:sz w:val="24"/>
          <w:szCs w:val="24"/>
        </w:rPr>
        <w:t>. This is important to note because of the peculiarities of the 1990 elections. Even DAB leadership assumed that the results would be falsified by the incumbent regime. What happened was even more bizarre; the results—a landslide victory for DAB—were released, but not honored.</w:t>
      </w:r>
    </w:p>
    <w:p w:rsidR="00F4325D" w:rsidRPr="00F62BA4" w:rsidRDefault="00F4325D" w:rsidP="00B028DA">
      <w:pPr>
        <w:rPr>
          <w:rFonts w:ascii="Times New Roman" w:hAnsi="Times New Roman" w:cs="Times New Roman"/>
          <w:sz w:val="24"/>
          <w:szCs w:val="24"/>
        </w:rPr>
      </w:pPr>
      <w:r w:rsidRPr="00F62BA4">
        <w:rPr>
          <w:rFonts w:ascii="Times New Roman" w:hAnsi="Times New Roman" w:cs="Times New Roman"/>
          <w:sz w:val="24"/>
          <w:szCs w:val="24"/>
        </w:rPr>
        <w:tab/>
        <w:t xml:space="preserve">Finding evidence of </w:t>
      </w:r>
      <w:r w:rsidR="005B1032">
        <w:rPr>
          <w:rFonts w:ascii="Times New Roman" w:hAnsi="Times New Roman" w:cs="Times New Roman"/>
          <w:sz w:val="24"/>
          <w:szCs w:val="24"/>
        </w:rPr>
        <w:t>policing and juridical</w:t>
      </w:r>
      <w:r w:rsidRPr="00F62BA4">
        <w:rPr>
          <w:rFonts w:ascii="Times New Roman" w:hAnsi="Times New Roman" w:cs="Times New Roman"/>
          <w:sz w:val="24"/>
          <w:szCs w:val="24"/>
        </w:rPr>
        <w:t xml:space="preserve"> in rebel-controlled Burma is a harder task. While it is clear that by 1990 the Burmese state had, to a certain degree, accepted rebel control of certain regions,</w:t>
      </w:r>
      <w:r w:rsidRPr="00F62BA4">
        <w:rPr>
          <w:rStyle w:val="FootnoteReference"/>
          <w:rFonts w:ascii="Times New Roman" w:hAnsi="Times New Roman" w:cs="Times New Roman"/>
          <w:sz w:val="24"/>
          <w:szCs w:val="24"/>
        </w:rPr>
        <w:footnoteReference w:id="52"/>
      </w:r>
      <w:r w:rsidR="00D45C69" w:rsidRPr="00F62BA4">
        <w:rPr>
          <w:rFonts w:ascii="Times New Roman" w:hAnsi="Times New Roman" w:cs="Times New Roman"/>
          <w:sz w:val="24"/>
          <w:szCs w:val="24"/>
        </w:rPr>
        <w:t xml:space="preserve"> little evidence exists that points to the operation of policing or justice within controlled territories. One could suppose that civil society actors may take on such responsibilities, but it appears that the rebels may not have.</w:t>
      </w:r>
    </w:p>
    <w:p w:rsidR="00B07346" w:rsidRPr="00F62BA4" w:rsidRDefault="00F439EB" w:rsidP="006D0328">
      <w:pPr>
        <w:rPr>
          <w:rFonts w:ascii="Times New Roman" w:hAnsi="Times New Roman" w:cs="Times New Roman"/>
          <w:b/>
          <w:sz w:val="24"/>
          <w:szCs w:val="24"/>
        </w:rPr>
      </w:pPr>
      <w:r w:rsidRPr="00F62BA4">
        <w:rPr>
          <w:rFonts w:ascii="Times New Roman" w:hAnsi="Times New Roman" w:cs="Times New Roman"/>
          <w:b/>
          <w:sz w:val="24"/>
          <w:szCs w:val="24"/>
        </w:rPr>
        <w:t>Burundi (1988)</w:t>
      </w:r>
    </w:p>
    <w:p w:rsidR="00F439EB" w:rsidRPr="00F62BA4" w:rsidRDefault="00F439EB" w:rsidP="006D032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Hutu </w:t>
      </w:r>
      <w:r w:rsidR="00D908E2" w:rsidRPr="00F62BA4">
        <w:rPr>
          <w:rFonts w:ascii="Times New Roman" w:hAnsi="Times New Roman" w:cs="Times New Roman"/>
          <w:sz w:val="24"/>
          <w:szCs w:val="24"/>
        </w:rPr>
        <w:t>militias</w:t>
      </w:r>
      <w:r w:rsidRPr="00F62BA4">
        <w:rPr>
          <w:rFonts w:ascii="Times New Roman" w:hAnsi="Times New Roman" w:cs="Times New Roman"/>
          <w:sz w:val="24"/>
          <w:szCs w:val="24"/>
        </w:rPr>
        <w:t xml:space="preserve"> / Burundi and Tutsi </w:t>
      </w:r>
      <w:r w:rsidR="00D908E2" w:rsidRPr="00F62BA4">
        <w:rPr>
          <w:rFonts w:ascii="Times New Roman" w:hAnsi="Times New Roman" w:cs="Times New Roman"/>
          <w:sz w:val="24"/>
          <w:szCs w:val="24"/>
        </w:rPr>
        <w:t>militias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F439EB" w:rsidRPr="00F62BA4" w:rsidRDefault="00F439EB" w:rsidP="006D0328">
      <w:pPr>
        <w:rPr>
          <w:rFonts w:ascii="Times New Roman" w:hAnsi="Times New Roman" w:cs="Times New Roman"/>
          <w:sz w:val="24"/>
          <w:szCs w:val="24"/>
        </w:rPr>
      </w:pPr>
      <w:r w:rsidRPr="00F62BA4">
        <w:rPr>
          <w:rFonts w:ascii="Times New Roman" w:hAnsi="Times New Roman" w:cs="Times New Roman"/>
          <w:sz w:val="24"/>
          <w:szCs w:val="24"/>
        </w:rPr>
        <w:tab/>
      </w:r>
      <w:r w:rsidR="00280566" w:rsidRPr="00F62BA4">
        <w:rPr>
          <w:rFonts w:ascii="Times New Roman" w:hAnsi="Times New Roman" w:cs="Times New Roman"/>
          <w:sz w:val="24"/>
          <w:szCs w:val="24"/>
        </w:rPr>
        <w:t>This brief civil war took place shortly after Pierre Buyoya’s coup d’état, albeit not immediately so.</w:t>
      </w:r>
      <w:r w:rsidR="00280566" w:rsidRPr="00F62BA4">
        <w:rPr>
          <w:rStyle w:val="FootnoteReference"/>
          <w:rFonts w:ascii="Times New Roman" w:hAnsi="Times New Roman" w:cs="Times New Roman"/>
          <w:sz w:val="24"/>
          <w:szCs w:val="24"/>
        </w:rPr>
        <w:footnoteReference w:id="53"/>
      </w:r>
      <w:r w:rsidR="00280566" w:rsidRPr="00F62BA4">
        <w:rPr>
          <w:rFonts w:ascii="Times New Roman" w:hAnsi="Times New Roman" w:cs="Times New Roman"/>
          <w:sz w:val="24"/>
          <w:szCs w:val="24"/>
        </w:rPr>
        <w:t xml:space="preserve"> Buyoya had intended (or claimed to have intended) to repair relations between </w:t>
      </w:r>
      <w:r w:rsidR="00280566" w:rsidRPr="00F62BA4">
        <w:rPr>
          <w:rFonts w:ascii="Times New Roman" w:hAnsi="Times New Roman" w:cs="Times New Roman"/>
          <w:sz w:val="24"/>
          <w:szCs w:val="24"/>
        </w:rPr>
        <w:lastRenderedPageBreak/>
        <w:t>the majority Hutu population and that of the Tutsi, who had ruled the country for decades.</w:t>
      </w:r>
      <w:r w:rsidR="00280566" w:rsidRPr="00F62BA4">
        <w:rPr>
          <w:rStyle w:val="FootnoteReference"/>
          <w:rFonts w:ascii="Times New Roman" w:hAnsi="Times New Roman" w:cs="Times New Roman"/>
          <w:sz w:val="24"/>
          <w:szCs w:val="24"/>
        </w:rPr>
        <w:footnoteReference w:id="54"/>
      </w:r>
      <w:r w:rsidR="00AF4651" w:rsidRPr="00F62BA4">
        <w:rPr>
          <w:rFonts w:ascii="Times New Roman" w:hAnsi="Times New Roman" w:cs="Times New Roman"/>
          <w:sz w:val="24"/>
          <w:szCs w:val="24"/>
        </w:rPr>
        <w:t xml:space="preserve"> Unsatisfied by the regime’s progress, Hutus began to lash out at the Tutsi minority,</w:t>
      </w:r>
      <w:r w:rsidR="00AF4651" w:rsidRPr="00F62BA4">
        <w:rPr>
          <w:rStyle w:val="FootnoteReference"/>
          <w:rFonts w:ascii="Times New Roman" w:hAnsi="Times New Roman" w:cs="Times New Roman"/>
          <w:sz w:val="24"/>
          <w:szCs w:val="24"/>
        </w:rPr>
        <w:footnoteReference w:id="55"/>
      </w:r>
      <w:r w:rsidR="00AF4651" w:rsidRPr="00F62BA4">
        <w:rPr>
          <w:rFonts w:ascii="Times New Roman" w:hAnsi="Times New Roman" w:cs="Times New Roman"/>
          <w:sz w:val="24"/>
          <w:szCs w:val="24"/>
        </w:rPr>
        <w:t xml:space="preserve"> leading to a brief conflict followed by brutal reprisals on behalf of the very regime which had promised to work toward interethnic peace.</w:t>
      </w:r>
      <w:r w:rsidR="00AF4651" w:rsidRPr="00F62BA4">
        <w:rPr>
          <w:rStyle w:val="FootnoteReference"/>
          <w:rFonts w:ascii="Times New Roman" w:hAnsi="Times New Roman" w:cs="Times New Roman"/>
          <w:sz w:val="24"/>
          <w:szCs w:val="24"/>
        </w:rPr>
        <w:footnoteReference w:id="56"/>
      </w:r>
    </w:p>
    <w:p w:rsidR="00AF4651" w:rsidRPr="00F62BA4" w:rsidRDefault="00AF4651"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war’s brevity made rebel governance highly unlikely. </w:t>
      </w:r>
      <w:r w:rsidR="004A3E9F" w:rsidRPr="00F62BA4">
        <w:rPr>
          <w:rFonts w:ascii="Times New Roman" w:hAnsi="Times New Roman" w:cs="Times New Roman"/>
          <w:sz w:val="24"/>
          <w:szCs w:val="24"/>
        </w:rPr>
        <w:t>Even so, there were governance developments contemporary with the conflict. For instance, Burundi’s education system was in the midst of ambitious expansion in 1988.</w:t>
      </w:r>
      <w:r w:rsidR="004A3E9F" w:rsidRPr="00F62BA4">
        <w:rPr>
          <w:rStyle w:val="FootnoteReference"/>
          <w:rFonts w:ascii="Times New Roman" w:hAnsi="Times New Roman" w:cs="Times New Roman"/>
          <w:sz w:val="24"/>
          <w:szCs w:val="24"/>
        </w:rPr>
        <w:footnoteReference w:id="57"/>
      </w:r>
      <w:r w:rsidR="0013654E" w:rsidRPr="00F62BA4">
        <w:rPr>
          <w:rFonts w:ascii="Times New Roman" w:hAnsi="Times New Roman" w:cs="Times New Roman"/>
          <w:sz w:val="24"/>
          <w:szCs w:val="24"/>
        </w:rPr>
        <w:t xml:space="preserve"> However, this was not done at the behest of those who participated in the uprising. Political developments would also emerge in the years that followed, but these are not examples of rebel governance, but merely developments coincidental with a brief civil war.</w:t>
      </w:r>
    </w:p>
    <w:p w:rsidR="00F439EB" w:rsidRPr="00F62BA4" w:rsidRDefault="00F439EB" w:rsidP="00F439EB">
      <w:pPr>
        <w:rPr>
          <w:rFonts w:ascii="Times New Roman" w:hAnsi="Times New Roman" w:cs="Times New Roman"/>
          <w:b/>
          <w:sz w:val="24"/>
          <w:szCs w:val="24"/>
        </w:rPr>
      </w:pPr>
      <w:r w:rsidRPr="00F62BA4">
        <w:rPr>
          <w:rFonts w:ascii="Times New Roman" w:hAnsi="Times New Roman" w:cs="Times New Roman"/>
          <w:b/>
          <w:sz w:val="24"/>
          <w:szCs w:val="24"/>
        </w:rPr>
        <w:t>Burundi (1993-2000)</w:t>
      </w:r>
    </w:p>
    <w:p w:rsidR="00F439EB" w:rsidRPr="00F62BA4" w:rsidRDefault="00F439EB" w:rsidP="00F439EB">
      <w:pPr>
        <w:rPr>
          <w:rFonts w:ascii="Times New Roman" w:hAnsi="Times New Roman" w:cs="Times New Roman"/>
          <w:sz w:val="24"/>
          <w:szCs w:val="24"/>
        </w:rPr>
      </w:pPr>
      <w:r w:rsidRPr="00F62BA4">
        <w:rPr>
          <w:rFonts w:ascii="Times New Roman" w:hAnsi="Times New Roman" w:cs="Times New Roman"/>
          <w:sz w:val="24"/>
          <w:szCs w:val="24"/>
        </w:rPr>
        <w:t>Rebels / Incumbents:</w:t>
      </w:r>
      <w:r w:rsidR="000724DC" w:rsidRPr="00F62BA4">
        <w:rPr>
          <w:rFonts w:ascii="Times New Roman" w:hAnsi="Times New Roman" w:cs="Times New Roman"/>
          <w:sz w:val="24"/>
          <w:szCs w:val="24"/>
        </w:rPr>
        <w:t xml:space="preserve"> </w:t>
      </w:r>
      <w:r w:rsidR="00E47071" w:rsidRPr="00F62BA4">
        <w:rPr>
          <w:rFonts w:ascii="Times New Roman" w:hAnsi="Times New Roman" w:cs="Times New Roman"/>
          <w:sz w:val="24"/>
          <w:szCs w:val="24"/>
        </w:rPr>
        <w:t>Forces for the Defense of Democracy (FDD</w:t>
      </w:r>
      <w:r w:rsidR="000D7769" w:rsidRPr="00F62BA4">
        <w:rPr>
          <w:rFonts w:ascii="Times New Roman" w:hAnsi="Times New Roman" w:cs="Times New Roman"/>
          <w:sz w:val="24"/>
          <w:szCs w:val="24"/>
        </w:rPr>
        <w:t>/CNDD</w:t>
      </w:r>
      <w:r w:rsidR="00E47071" w:rsidRPr="00F62BA4">
        <w:rPr>
          <w:rFonts w:ascii="Times New Roman" w:hAnsi="Times New Roman" w:cs="Times New Roman"/>
          <w:sz w:val="24"/>
          <w:szCs w:val="24"/>
        </w:rPr>
        <w:t>), National Liberation Front (FROLINA), and National Forces of Liberation (FNL</w:t>
      </w:r>
      <w:r w:rsidR="000D7769" w:rsidRPr="00F62BA4">
        <w:rPr>
          <w:rFonts w:ascii="Times New Roman" w:hAnsi="Times New Roman" w:cs="Times New Roman"/>
          <w:sz w:val="24"/>
          <w:szCs w:val="24"/>
        </w:rPr>
        <w:t>/PALIPEHUTU</w:t>
      </w:r>
      <w:r w:rsidR="00E47071" w:rsidRPr="00F62BA4">
        <w:rPr>
          <w:rFonts w:ascii="Times New Roman" w:hAnsi="Times New Roman" w:cs="Times New Roman"/>
          <w:sz w:val="24"/>
          <w:szCs w:val="24"/>
        </w:rPr>
        <w:t>)</w:t>
      </w:r>
      <w:r w:rsidRPr="00F62BA4">
        <w:rPr>
          <w:rFonts w:ascii="Times New Roman" w:hAnsi="Times New Roman" w:cs="Times New Roman"/>
          <w:sz w:val="24"/>
          <w:szCs w:val="24"/>
        </w:rPr>
        <w:t xml:space="preserve"> </w:t>
      </w:r>
      <w:r w:rsidR="000724DC" w:rsidRPr="00F62BA4">
        <w:rPr>
          <w:rFonts w:ascii="Times New Roman" w:hAnsi="Times New Roman" w:cs="Times New Roman"/>
          <w:sz w:val="24"/>
          <w:szCs w:val="24"/>
        </w:rPr>
        <w:t xml:space="preserve">/ </w:t>
      </w:r>
      <w:r w:rsidR="00E47071" w:rsidRPr="00F62BA4">
        <w:rPr>
          <w:rFonts w:ascii="Times New Roman" w:hAnsi="Times New Roman" w:cs="Times New Roman"/>
          <w:sz w:val="24"/>
          <w:szCs w:val="24"/>
        </w:rPr>
        <w:t>Burundian Armed Forces,</w:t>
      </w:r>
      <w:r w:rsidR="000D7769" w:rsidRPr="00F62BA4">
        <w:rPr>
          <w:rFonts w:ascii="Times New Roman" w:hAnsi="Times New Roman" w:cs="Times New Roman"/>
          <w:sz w:val="24"/>
          <w:szCs w:val="24"/>
        </w:rPr>
        <w:t xml:space="preserve"> Political Parties of the Opposition (PPO),</w:t>
      </w:r>
      <w:r w:rsidR="00E47071" w:rsidRPr="00F62BA4">
        <w:rPr>
          <w:rFonts w:ascii="Times New Roman" w:hAnsi="Times New Roman" w:cs="Times New Roman"/>
          <w:sz w:val="24"/>
          <w:szCs w:val="24"/>
        </w:rPr>
        <w:t xml:space="preserve"> Tutsi militias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w:t>
      </w:r>
      <w:r w:rsidR="006A4F54">
        <w:rPr>
          <w:rFonts w:ascii="Times New Roman" w:hAnsi="Times New Roman" w:cs="Times New Roman"/>
          <w:b/>
          <w:sz w:val="24"/>
          <w:szCs w:val="24"/>
        </w:rPr>
        <w:t>1</w:t>
      </w:r>
      <w:r w:rsidR="00490AF3" w:rsidRPr="00F62BA4">
        <w:rPr>
          <w:rFonts w:ascii="Times New Roman" w:hAnsi="Times New Roman" w:cs="Times New Roman"/>
          <w:b/>
          <w:sz w:val="24"/>
          <w:szCs w:val="24"/>
        </w:rPr>
        <w:t xml:space="preserve">;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xml:space="preserve">: </w:t>
      </w:r>
      <w:r w:rsidR="006A4F54">
        <w:rPr>
          <w:rFonts w:ascii="Times New Roman" w:hAnsi="Times New Roman" w:cs="Times New Roman"/>
          <w:b/>
          <w:sz w:val="24"/>
          <w:szCs w:val="24"/>
        </w:rPr>
        <w:t>1</w:t>
      </w:r>
    </w:p>
    <w:p w:rsidR="000724DC" w:rsidRPr="00F62BA4" w:rsidRDefault="000724DC" w:rsidP="00F439EB">
      <w:pPr>
        <w:rPr>
          <w:rFonts w:ascii="Times New Roman" w:hAnsi="Times New Roman" w:cs="Times New Roman"/>
          <w:sz w:val="24"/>
          <w:szCs w:val="24"/>
        </w:rPr>
      </w:pPr>
      <w:r w:rsidRPr="00F62BA4">
        <w:rPr>
          <w:rFonts w:ascii="Times New Roman" w:hAnsi="Times New Roman" w:cs="Times New Roman"/>
          <w:sz w:val="24"/>
          <w:szCs w:val="24"/>
        </w:rPr>
        <w:tab/>
        <w:t>Shortly after adopting a new constitution in 1992, Burundi held elections in 1993. These elections ousted Pierre Buyoya in favor of Melchior Ndadaye by a wide margin. Not only was Ndadaye a Hutu, but he was a civilian; both of these traits alienated the ascendant Ndadaye from Burundi’s Tutsi military leadership. Following his assassination in October of 1993, Hutus committed massacres against Tutsi, which then led to military reprisals against Hutus. Hutus</w:t>
      </w:r>
      <w:r w:rsidR="00E47071" w:rsidRPr="00F62BA4">
        <w:rPr>
          <w:rFonts w:ascii="Times New Roman" w:hAnsi="Times New Roman" w:cs="Times New Roman"/>
          <w:sz w:val="24"/>
          <w:szCs w:val="24"/>
        </w:rPr>
        <w:t xml:space="preserve"> from Ndadaye’s party</w:t>
      </w:r>
      <w:r w:rsidRPr="00F62BA4">
        <w:rPr>
          <w:rFonts w:ascii="Times New Roman" w:hAnsi="Times New Roman" w:cs="Times New Roman"/>
          <w:sz w:val="24"/>
          <w:szCs w:val="24"/>
        </w:rPr>
        <w:t xml:space="preserve"> thus left the government to wage a war, ostensibly to restore democracy.</w:t>
      </w:r>
      <w:r w:rsidRPr="00F62BA4">
        <w:rPr>
          <w:rStyle w:val="FootnoteReference"/>
          <w:rFonts w:ascii="Times New Roman" w:hAnsi="Times New Roman" w:cs="Times New Roman"/>
          <w:sz w:val="24"/>
          <w:szCs w:val="24"/>
        </w:rPr>
        <w:footnoteReference w:id="58"/>
      </w:r>
      <w:r w:rsidRPr="00F62BA4">
        <w:rPr>
          <w:rFonts w:ascii="Times New Roman" w:hAnsi="Times New Roman" w:cs="Times New Roman"/>
          <w:sz w:val="24"/>
          <w:szCs w:val="24"/>
        </w:rPr>
        <w:t xml:space="preserve"> </w:t>
      </w:r>
    </w:p>
    <w:p w:rsidR="00E47071" w:rsidRDefault="0006701A" w:rsidP="0006701A">
      <w:pPr>
        <w:rPr>
          <w:rFonts w:ascii="Times New Roman" w:hAnsi="Times New Roman" w:cs="Times New Roman"/>
          <w:sz w:val="24"/>
          <w:szCs w:val="24"/>
        </w:rPr>
      </w:pPr>
      <w:r w:rsidRPr="00F62BA4">
        <w:rPr>
          <w:rFonts w:ascii="Times New Roman" w:hAnsi="Times New Roman" w:cs="Times New Roman"/>
          <w:sz w:val="24"/>
          <w:szCs w:val="24"/>
        </w:rPr>
        <w:tab/>
        <w:t>Burundi’s rebels were not terribly effective governors, save for one aspect: collecting taxes.</w:t>
      </w:r>
      <w:r w:rsidRPr="00F62BA4">
        <w:rPr>
          <w:rStyle w:val="FootnoteReference"/>
          <w:rFonts w:ascii="Times New Roman" w:hAnsi="Times New Roman" w:cs="Times New Roman"/>
          <w:sz w:val="24"/>
          <w:szCs w:val="24"/>
        </w:rPr>
        <w:footnoteReference w:id="59"/>
      </w:r>
      <w:r w:rsidRPr="00F62BA4">
        <w:rPr>
          <w:rFonts w:ascii="Times New Roman" w:hAnsi="Times New Roman" w:cs="Times New Roman"/>
          <w:sz w:val="24"/>
          <w:szCs w:val="24"/>
        </w:rPr>
        <w:t xml:space="preserve"> In part due to the war’s mobile nature and the difficulties holding territory for extended periods, rebel organizations did not provide health, educational, or even legal apparatuses for their would-be subjects. What they did do was regularly collect taxes. As Rachel Sabates-Wheeler and Philip Verwimp point out, though, there were some benefits to the taxed. Although </w:t>
      </w:r>
      <w:r w:rsidRPr="00F62BA4">
        <w:rPr>
          <w:rFonts w:ascii="Times New Roman" w:hAnsi="Times New Roman" w:cs="Times New Roman"/>
          <w:sz w:val="24"/>
          <w:szCs w:val="24"/>
        </w:rPr>
        <w:lastRenderedPageBreak/>
        <w:t xml:space="preserve">the rebels </w:t>
      </w:r>
      <w:r w:rsidR="006A4F54">
        <w:rPr>
          <w:rFonts w:ascii="Times New Roman" w:hAnsi="Times New Roman" w:cs="Times New Roman"/>
          <w:sz w:val="24"/>
          <w:szCs w:val="24"/>
        </w:rPr>
        <w:t>often did</w:t>
      </w:r>
      <w:r w:rsidRPr="00F62BA4">
        <w:rPr>
          <w:rFonts w:ascii="Times New Roman" w:hAnsi="Times New Roman" w:cs="Times New Roman"/>
          <w:sz w:val="24"/>
          <w:szCs w:val="24"/>
        </w:rPr>
        <w:t xml:space="preserve"> not spare the effort to create institutions, they could provide additional domestic security or muscle in enforcing the collection of personal debts.</w:t>
      </w:r>
    </w:p>
    <w:p w:rsidR="006A4F54" w:rsidRPr="00F62BA4" w:rsidRDefault="006A4F54" w:rsidP="0006701A">
      <w:pPr>
        <w:rPr>
          <w:rFonts w:ascii="Times New Roman" w:hAnsi="Times New Roman" w:cs="Times New Roman"/>
          <w:sz w:val="24"/>
          <w:szCs w:val="24"/>
        </w:rPr>
      </w:pPr>
      <w:r>
        <w:rPr>
          <w:rFonts w:ascii="Times New Roman" w:hAnsi="Times New Roman" w:cs="Times New Roman"/>
          <w:sz w:val="24"/>
          <w:szCs w:val="24"/>
        </w:rPr>
        <w:tab/>
        <w:t>The exception appears to have been the CNDD, who by 1995 had established an impressive-seeming array of administrative apparatuses.</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w:t>
      </w:r>
      <w:r w:rsidR="007F52B2">
        <w:rPr>
          <w:rFonts w:ascii="Times New Roman" w:hAnsi="Times New Roman" w:cs="Times New Roman"/>
          <w:sz w:val="24"/>
          <w:szCs w:val="24"/>
        </w:rPr>
        <w:t>While claiming to provide a wide array of goods one would associate with good governance,</w:t>
      </w:r>
      <w:r w:rsidR="007F52B2">
        <w:rPr>
          <w:rStyle w:val="FootnoteReference"/>
          <w:rFonts w:ascii="Times New Roman" w:hAnsi="Times New Roman" w:cs="Times New Roman"/>
          <w:sz w:val="24"/>
          <w:szCs w:val="24"/>
        </w:rPr>
        <w:footnoteReference w:id="61"/>
      </w:r>
      <w:r w:rsidR="007F52B2">
        <w:rPr>
          <w:rFonts w:ascii="Times New Roman" w:hAnsi="Times New Roman" w:cs="Times New Roman"/>
          <w:sz w:val="24"/>
          <w:szCs w:val="24"/>
        </w:rPr>
        <w:t xml:space="preserve"> the actual output is somewhat limited. Early in the conflict, the group provided a means of voicing concerns to leadership as well as a “Forest Justice” court system to resolve disputes.</w:t>
      </w:r>
      <w:r w:rsidR="007F52B2">
        <w:rPr>
          <w:rStyle w:val="FootnoteReference"/>
          <w:rFonts w:ascii="Times New Roman" w:hAnsi="Times New Roman" w:cs="Times New Roman"/>
          <w:sz w:val="24"/>
          <w:szCs w:val="24"/>
        </w:rPr>
        <w:footnoteReference w:id="62"/>
      </w:r>
    </w:p>
    <w:p w:rsidR="00EC08BB" w:rsidRPr="00F62BA4" w:rsidRDefault="00EC08BB" w:rsidP="0006701A">
      <w:pPr>
        <w:rPr>
          <w:rFonts w:ascii="Times New Roman" w:hAnsi="Times New Roman" w:cs="Times New Roman"/>
          <w:sz w:val="24"/>
          <w:szCs w:val="24"/>
        </w:rPr>
      </w:pPr>
      <w:r w:rsidRPr="00F62BA4">
        <w:rPr>
          <w:rFonts w:ascii="Times New Roman" w:hAnsi="Times New Roman" w:cs="Times New Roman"/>
          <w:sz w:val="24"/>
          <w:szCs w:val="24"/>
        </w:rPr>
        <w:tab/>
      </w:r>
      <w:r w:rsidR="006A4F54">
        <w:rPr>
          <w:rFonts w:ascii="Times New Roman" w:hAnsi="Times New Roman" w:cs="Times New Roman"/>
          <w:sz w:val="24"/>
          <w:szCs w:val="24"/>
        </w:rPr>
        <w:t>Besides this, though</w:t>
      </w:r>
      <w:r w:rsidRPr="00F62BA4">
        <w:rPr>
          <w:rFonts w:ascii="Times New Roman" w:hAnsi="Times New Roman" w:cs="Times New Roman"/>
          <w:sz w:val="24"/>
          <w:szCs w:val="24"/>
        </w:rPr>
        <w:t>,</w:t>
      </w:r>
      <w:r w:rsidR="007F52B2">
        <w:rPr>
          <w:rFonts w:ascii="Times New Roman" w:hAnsi="Times New Roman" w:cs="Times New Roman"/>
          <w:sz w:val="24"/>
          <w:szCs w:val="24"/>
        </w:rPr>
        <w:t xml:space="preserve"> rebel governance apparatuses</w:t>
      </w:r>
      <w:r w:rsidRPr="00F62BA4">
        <w:rPr>
          <w:rFonts w:ascii="Times New Roman" w:hAnsi="Times New Roman" w:cs="Times New Roman"/>
          <w:sz w:val="24"/>
          <w:szCs w:val="24"/>
        </w:rPr>
        <w:t xml:space="preserve"> were scarce.</w:t>
      </w:r>
      <w:r w:rsidRPr="00F62BA4">
        <w:rPr>
          <w:rStyle w:val="FootnoteReference"/>
          <w:rFonts w:ascii="Times New Roman" w:hAnsi="Times New Roman" w:cs="Times New Roman"/>
          <w:sz w:val="24"/>
          <w:szCs w:val="24"/>
        </w:rPr>
        <w:footnoteReference w:id="63"/>
      </w:r>
      <w:r w:rsidRPr="00F62BA4">
        <w:rPr>
          <w:rFonts w:ascii="Times New Roman" w:hAnsi="Times New Roman" w:cs="Times New Roman"/>
          <w:sz w:val="24"/>
          <w:szCs w:val="24"/>
        </w:rPr>
        <w:t xml:space="preserve"> A part of this may have been the flight of some of the Hutu political leadership, but regardless of the explanation, the emergent democracy had, for all intents and purposes, ceased to function at the beginning of the conflict. With that said, the negotiations which brought brief respite to the belligerents (and especially to the brutalized population) emphasized the need to restore the democratic institutions which had begun to bear fruit in the early 1990’s. </w:t>
      </w:r>
    </w:p>
    <w:p w:rsidR="00F439EB" w:rsidRPr="00F62BA4" w:rsidRDefault="00F439EB" w:rsidP="00F439EB">
      <w:pPr>
        <w:rPr>
          <w:rFonts w:ascii="Times New Roman" w:hAnsi="Times New Roman" w:cs="Times New Roman"/>
          <w:b/>
          <w:sz w:val="24"/>
          <w:szCs w:val="24"/>
        </w:rPr>
      </w:pPr>
      <w:r w:rsidRPr="00F62BA4">
        <w:rPr>
          <w:rFonts w:ascii="Times New Roman" w:hAnsi="Times New Roman" w:cs="Times New Roman"/>
          <w:b/>
          <w:sz w:val="24"/>
          <w:szCs w:val="24"/>
        </w:rPr>
        <w:t>Burundi (2001-2003)</w:t>
      </w:r>
    </w:p>
    <w:p w:rsidR="000B504A" w:rsidRPr="00F62BA4" w:rsidRDefault="00F439EB" w:rsidP="000B504A">
      <w:pPr>
        <w:rPr>
          <w:rFonts w:ascii="Times New Roman" w:hAnsi="Times New Roman" w:cs="Times New Roman"/>
          <w:sz w:val="24"/>
          <w:szCs w:val="24"/>
        </w:rPr>
      </w:pPr>
      <w:r w:rsidRPr="00F62BA4">
        <w:rPr>
          <w:rFonts w:ascii="Times New Roman" w:hAnsi="Times New Roman" w:cs="Times New Roman"/>
          <w:sz w:val="24"/>
          <w:szCs w:val="24"/>
        </w:rPr>
        <w:t>Rebels / Incumbents</w:t>
      </w:r>
      <w:r w:rsidR="000B504A" w:rsidRPr="00F62BA4">
        <w:rPr>
          <w:rFonts w:ascii="Times New Roman" w:hAnsi="Times New Roman" w:cs="Times New Roman"/>
          <w:sz w:val="24"/>
          <w:szCs w:val="24"/>
        </w:rPr>
        <w:t xml:space="preserve">: </w:t>
      </w:r>
      <w:r w:rsidR="000D7769" w:rsidRPr="00F62BA4">
        <w:rPr>
          <w:rFonts w:ascii="Times New Roman" w:hAnsi="Times New Roman" w:cs="Times New Roman"/>
          <w:sz w:val="24"/>
          <w:szCs w:val="24"/>
        </w:rPr>
        <w:t>CNDD, CNDD-FDD, new CNDD-FDD, PALIPEHUTU-FNL</w:t>
      </w:r>
      <w:r w:rsidR="003C0C73">
        <w:rPr>
          <w:rFonts w:ascii="Times New Roman" w:hAnsi="Times New Roman" w:cs="Times New Roman"/>
          <w:sz w:val="24"/>
          <w:szCs w:val="24"/>
        </w:rPr>
        <w:t xml:space="preserve"> / Burundi, Tutsi militias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w:t>
      </w:r>
      <w:r w:rsidR="00E26A6C">
        <w:rPr>
          <w:rFonts w:ascii="Times New Roman" w:hAnsi="Times New Roman" w:cs="Times New Roman"/>
          <w:b/>
          <w:sz w:val="24"/>
          <w:szCs w:val="24"/>
        </w:rPr>
        <w:t>1</w:t>
      </w:r>
      <w:r w:rsidR="00490AF3" w:rsidRPr="00F62BA4">
        <w:rPr>
          <w:rFonts w:ascii="Times New Roman" w:hAnsi="Times New Roman" w:cs="Times New Roman"/>
          <w:b/>
          <w:sz w:val="24"/>
          <w:szCs w:val="24"/>
        </w:rPr>
        <w:t xml:space="preserve">;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xml:space="preserve">: </w:t>
      </w:r>
      <w:r w:rsidR="00E26A6C">
        <w:rPr>
          <w:rFonts w:ascii="Times New Roman" w:hAnsi="Times New Roman" w:cs="Times New Roman"/>
          <w:b/>
          <w:sz w:val="24"/>
          <w:szCs w:val="24"/>
        </w:rPr>
        <w:t>1</w:t>
      </w:r>
    </w:p>
    <w:p w:rsidR="00F439EB" w:rsidRDefault="00F439EB" w:rsidP="00F439EB">
      <w:pPr>
        <w:rPr>
          <w:rFonts w:ascii="Times New Roman" w:hAnsi="Times New Roman" w:cs="Times New Roman"/>
          <w:sz w:val="24"/>
          <w:szCs w:val="24"/>
        </w:rPr>
      </w:pPr>
      <w:r w:rsidRPr="00F62BA4">
        <w:rPr>
          <w:rFonts w:ascii="Times New Roman" w:hAnsi="Times New Roman" w:cs="Times New Roman"/>
          <w:sz w:val="24"/>
          <w:szCs w:val="24"/>
        </w:rPr>
        <w:t xml:space="preserve"> </w:t>
      </w:r>
      <w:r w:rsidR="000B504A" w:rsidRPr="00F62BA4">
        <w:rPr>
          <w:rFonts w:ascii="Times New Roman" w:hAnsi="Times New Roman" w:cs="Times New Roman"/>
          <w:sz w:val="24"/>
          <w:szCs w:val="24"/>
        </w:rPr>
        <w:tab/>
        <w:t>The second chapter of the conflict began</w:t>
      </w:r>
      <w:r w:rsidR="00CB03CE" w:rsidRPr="00F62BA4">
        <w:rPr>
          <w:rFonts w:ascii="Times New Roman" w:hAnsi="Times New Roman" w:cs="Times New Roman"/>
          <w:sz w:val="24"/>
          <w:szCs w:val="24"/>
        </w:rPr>
        <w:t xml:space="preserve"> shortly after the first one ended, as the carefully crafted power-sharing agreement collapsed under the strain of factions within factions being left out of the negotiations, either because they were not invited or because they refused to participate.</w:t>
      </w:r>
      <w:r w:rsidR="00CB03CE" w:rsidRPr="00F62BA4">
        <w:rPr>
          <w:rStyle w:val="FootnoteReference"/>
          <w:rFonts w:ascii="Times New Roman" w:hAnsi="Times New Roman" w:cs="Times New Roman"/>
          <w:sz w:val="24"/>
          <w:szCs w:val="24"/>
        </w:rPr>
        <w:footnoteReference w:id="64"/>
      </w:r>
      <w:r w:rsidR="000D7769" w:rsidRPr="00F62BA4">
        <w:rPr>
          <w:rFonts w:ascii="Times New Roman" w:hAnsi="Times New Roman" w:cs="Times New Roman"/>
          <w:sz w:val="24"/>
          <w:szCs w:val="24"/>
        </w:rPr>
        <w:t xml:space="preserve"> The government then attempted to negotiate cease fires with the different factions within CNDD individually, recognizing that the organization had become, for all intents and purposes, divided into three. Once these peace agreements had been signed, the country held elections once again, where the tenuously unified CNDD-FDD performed well, ostensibly because of its promises of change from the status quo ante and for “delivering” on the promise to incorporate more Hutus into security and defense forces at the war’s end.</w:t>
      </w:r>
    </w:p>
    <w:p w:rsidR="000D7769" w:rsidRPr="00F62BA4" w:rsidRDefault="006A4F54" w:rsidP="00F439EB">
      <w:pPr>
        <w:rPr>
          <w:rFonts w:ascii="Times New Roman" w:hAnsi="Times New Roman" w:cs="Times New Roman"/>
          <w:sz w:val="24"/>
          <w:szCs w:val="24"/>
        </w:rPr>
      </w:pPr>
      <w:r>
        <w:rPr>
          <w:rFonts w:ascii="Times New Roman" w:hAnsi="Times New Roman" w:cs="Times New Roman"/>
          <w:sz w:val="24"/>
          <w:szCs w:val="24"/>
        </w:rPr>
        <w:tab/>
        <w:t>This may not come as a surprise given the relative success that the group had establishing a parallel administration, particularly when compared to the other groups.</w:t>
      </w:r>
      <w:r w:rsidR="00E26A6C">
        <w:rPr>
          <w:rStyle w:val="FootnoteReference"/>
          <w:rFonts w:ascii="Times New Roman" w:hAnsi="Times New Roman" w:cs="Times New Roman"/>
          <w:sz w:val="24"/>
          <w:szCs w:val="24"/>
        </w:rPr>
        <w:footnoteReference w:id="65"/>
      </w:r>
      <w:r w:rsidR="003334AD">
        <w:rPr>
          <w:rFonts w:ascii="Times New Roman" w:hAnsi="Times New Roman" w:cs="Times New Roman"/>
          <w:sz w:val="24"/>
          <w:szCs w:val="24"/>
        </w:rPr>
        <w:t xml:space="preserve"> The CNDD were still not exemplary governors,</w:t>
      </w:r>
      <w:r w:rsidR="003334AD" w:rsidRPr="00F62BA4">
        <w:rPr>
          <w:rStyle w:val="FootnoteReference"/>
          <w:rFonts w:ascii="Times New Roman" w:hAnsi="Times New Roman" w:cs="Times New Roman"/>
          <w:sz w:val="24"/>
          <w:szCs w:val="24"/>
        </w:rPr>
        <w:footnoteReference w:id="66"/>
      </w:r>
      <w:r w:rsidR="003334AD">
        <w:rPr>
          <w:rFonts w:ascii="Times New Roman" w:hAnsi="Times New Roman" w:cs="Times New Roman"/>
          <w:sz w:val="24"/>
          <w:szCs w:val="24"/>
        </w:rPr>
        <w:t xml:space="preserve"> but they continued to develop a parallel administration system, </w:t>
      </w:r>
      <w:r w:rsidR="003334AD">
        <w:rPr>
          <w:rFonts w:ascii="Times New Roman" w:hAnsi="Times New Roman" w:cs="Times New Roman"/>
          <w:sz w:val="24"/>
          <w:szCs w:val="24"/>
        </w:rPr>
        <w:lastRenderedPageBreak/>
        <w:t>providing a means of registering concerns and adjudicating disputes.</w:t>
      </w:r>
      <w:r w:rsidR="003334AD">
        <w:rPr>
          <w:rStyle w:val="FootnoteReference"/>
          <w:rFonts w:ascii="Times New Roman" w:hAnsi="Times New Roman" w:cs="Times New Roman"/>
          <w:sz w:val="24"/>
          <w:szCs w:val="24"/>
        </w:rPr>
        <w:footnoteReference w:id="67"/>
      </w:r>
      <w:r w:rsidR="003334AD">
        <w:rPr>
          <w:rFonts w:ascii="Times New Roman" w:hAnsi="Times New Roman" w:cs="Times New Roman"/>
          <w:sz w:val="24"/>
          <w:szCs w:val="24"/>
        </w:rPr>
        <w:t xml:space="preserve"> These continued to operate after the conflict, proving useful as the group sought electoral victory after making peace with the state in 2003.</w:t>
      </w:r>
      <w:r w:rsidR="003334AD">
        <w:rPr>
          <w:rStyle w:val="FootnoteReference"/>
          <w:rFonts w:ascii="Times New Roman" w:hAnsi="Times New Roman" w:cs="Times New Roman"/>
          <w:sz w:val="24"/>
          <w:szCs w:val="24"/>
        </w:rPr>
        <w:footnoteReference w:id="68"/>
      </w:r>
      <w:r w:rsidR="001130C0">
        <w:rPr>
          <w:rFonts w:ascii="Times New Roman" w:hAnsi="Times New Roman" w:cs="Times New Roman"/>
          <w:sz w:val="24"/>
          <w:szCs w:val="24"/>
        </w:rPr>
        <w:t xml:space="preserve"> This incorporated the CNDD into the Burundian state, but it left the FNL out.</w:t>
      </w:r>
      <w:r w:rsidR="00AE5A60" w:rsidRPr="00F62BA4">
        <w:rPr>
          <w:rStyle w:val="FootnoteReference"/>
          <w:rFonts w:ascii="Times New Roman" w:hAnsi="Times New Roman" w:cs="Times New Roman"/>
          <w:sz w:val="24"/>
          <w:szCs w:val="24"/>
        </w:rPr>
        <w:footnoteReference w:id="69"/>
      </w:r>
    </w:p>
    <w:p w:rsidR="00F439EB" w:rsidRPr="00F62BA4" w:rsidRDefault="00F439EB" w:rsidP="00F439EB">
      <w:pPr>
        <w:rPr>
          <w:rFonts w:ascii="Times New Roman" w:hAnsi="Times New Roman" w:cs="Times New Roman"/>
          <w:b/>
          <w:sz w:val="24"/>
          <w:szCs w:val="24"/>
        </w:rPr>
      </w:pPr>
      <w:r w:rsidRPr="00F62BA4">
        <w:rPr>
          <w:rFonts w:ascii="Times New Roman" w:hAnsi="Times New Roman" w:cs="Times New Roman"/>
          <w:b/>
          <w:sz w:val="24"/>
          <w:szCs w:val="24"/>
        </w:rPr>
        <w:t>Burundi (2004-2006)</w:t>
      </w:r>
    </w:p>
    <w:p w:rsidR="00EC08BB" w:rsidRPr="00F62BA4" w:rsidRDefault="00F439EB" w:rsidP="00EC08BB">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1B0816" w:rsidRPr="00F62BA4">
        <w:rPr>
          <w:rFonts w:ascii="Times New Roman" w:hAnsi="Times New Roman" w:cs="Times New Roman"/>
          <w:sz w:val="24"/>
          <w:szCs w:val="24"/>
        </w:rPr>
        <w:t>PALIPEHUTU-FNL / CNDD factions, Burundi, Tutsi militias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2640F4" w:rsidRPr="00F62BA4" w:rsidRDefault="001B0816" w:rsidP="00EC08BB">
      <w:pPr>
        <w:rPr>
          <w:rFonts w:ascii="Times New Roman" w:hAnsi="Times New Roman" w:cs="Times New Roman"/>
          <w:sz w:val="24"/>
          <w:szCs w:val="24"/>
        </w:rPr>
      </w:pPr>
      <w:r w:rsidRPr="00F62BA4">
        <w:rPr>
          <w:rFonts w:ascii="Times New Roman" w:hAnsi="Times New Roman" w:cs="Times New Roman"/>
          <w:sz w:val="24"/>
          <w:szCs w:val="24"/>
        </w:rPr>
        <w:tab/>
      </w:r>
      <w:r w:rsidR="0030386A" w:rsidRPr="00F62BA4">
        <w:rPr>
          <w:rFonts w:ascii="Times New Roman" w:hAnsi="Times New Roman" w:cs="Times New Roman"/>
          <w:sz w:val="24"/>
          <w:szCs w:val="24"/>
        </w:rPr>
        <w:t xml:space="preserve">The final chapter in the conflict took place as the CNDD and Burundian armed forces </w:t>
      </w:r>
      <w:r w:rsidR="002640F4" w:rsidRPr="00F62BA4">
        <w:rPr>
          <w:rFonts w:ascii="Times New Roman" w:hAnsi="Times New Roman" w:cs="Times New Roman"/>
          <w:sz w:val="24"/>
          <w:szCs w:val="24"/>
        </w:rPr>
        <w:t xml:space="preserve">collaborated </w:t>
      </w:r>
      <w:r w:rsidR="0030386A" w:rsidRPr="00F62BA4">
        <w:rPr>
          <w:rFonts w:ascii="Times New Roman" w:hAnsi="Times New Roman" w:cs="Times New Roman"/>
          <w:sz w:val="24"/>
          <w:szCs w:val="24"/>
        </w:rPr>
        <w:t>against the last remaining rebel group</w:t>
      </w:r>
      <w:r w:rsidR="002640F4" w:rsidRPr="00F62BA4">
        <w:rPr>
          <w:rFonts w:ascii="Times New Roman" w:hAnsi="Times New Roman" w:cs="Times New Roman"/>
          <w:sz w:val="24"/>
          <w:szCs w:val="24"/>
        </w:rPr>
        <w:t>: the</w:t>
      </w:r>
      <w:r w:rsidR="0030386A" w:rsidRPr="00F62BA4">
        <w:rPr>
          <w:rFonts w:ascii="Times New Roman" w:hAnsi="Times New Roman" w:cs="Times New Roman"/>
          <w:sz w:val="24"/>
          <w:szCs w:val="24"/>
        </w:rPr>
        <w:t xml:space="preserve"> FNL.</w:t>
      </w:r>
      <w:r w:rsidR="0030386A" w:rsidRPr="00F62BA4">
        <w:rPr>
          <w:rStyle w:val="FootnoteReference"/>
          <w:rFonts w:ascii="Times New Roman" w:hAnsi="Times New Roman" w:cs="Times New Roman"/>
          <w:sz w:val="24"/>
          <w:szCs w:val="24"/>
        </w:rPr>
        <w:footnoteReference w:id="70"/>
      </w:r>
      <w:r w:rsidR="002640F4" w:rsidRPr="00F62BA4">
        <w:rPr>
          <w:rFonts w:ascii="Times New Roman" w:hAnsi="Times New Roman" w:cs="Times New Roman"/>
          <w:sz w:val="24"/>
          <w:szCs w:val="24"/>
        </w:rPr>
        <w:t xml:space="preserve"> After brutal offensives further victimized the country’s civilian population, the Burundian government signed a peace agreement with the FNL in 2006.</w:t>
      </w:r>
      <w:r w:rsidR="002640F4" w:rsidRPr="00F62BA4">
        <w:rPr>
          <w:rStyle w:val="FootnoteReference"/>
          <w:rFonts w:ascii="Times New Roman" w:hAnsi="Times New Roman" w:cs="Times New Roman"/>
          <w:sz w:val="24"/>
          <w:szCs w:val="24"/>
        </w:rPr>
        <w:footnoteReference w:id="71"/>
      </w:r>
      <w:r w:rsidR="002640F4" w:rsidRPr="00F62BA4">
        <w:rPr>
          <w:rFonts w:ascii="Times New Roman" w:hAnsi="Times New Roman" w:cs="Times New Roman"/>
          <w:sz w:val="24"/>
          <w:szCs w:val="24"/>
        </w:rPr>
        <w:t xml:space="preserve"> This gave the CNDD a head start in transforming itself into a political party, as it was able to participate in the country’s elections in 2005.</w:t>
      </w:r>
    </w:p>
    <w:p w:rsidR="00F439EB" w:rsidRPr="00F62BA4" w:rsidRDefault="00EC08BB" w:rsidP="00F439EB">
      <w:pPr>
        <w:rPr>
          <w:rFonts w:ascii="Times New Roman" w:hAnsi="Times New Roman" w:cs="Times New Roman"/>
          <w:sz w:val="24"/>
          <w:szCs w:val="24"/>
        </w:rPr>
      </w:pPr>
      <w:r w:rsidRPr="00F62BA4">
        <w:rPr>
          <w:rFonts w:ascii="Times New Roman" w:hAnsi="Times New Roman" w:cs="Times New Roman"/>
          <w:sz w:val="24"/>
          <w:szCs w:val="24"/>
        </w:rPr>
        <w:tab/>
      </w:r>
      <w:r w:rsidR="002640F4" w:rsidRPr="00F62BA4">
        <w:rPr>
          <w:rFonts w:ascii="Times New Roman" w:hAnsi="Times New Roman" w:cs="Times New Roman"/>
          <w:sz w:val="24"/>
          <w:szCs w:val="24"/>
        </w:rPr>
        <w:t xml:space="preserve">The FNL’s isolation did not make it an effective vehicle for governance. Service provision in general was not strong in the country, to be sure. </w:t>
      </w:r>
      <w:r w:rsidR="0030386A" w:rsidRPr="00F62BA4">
        <w:rPr>
          <w:rFonts w:ascii="Times New Roman" w:hAnsi="Times New Roman" w:cs="Times New Roman"/>
          <w:sz w:val="24"/>
          <w:szCs w:val="24"/>
        </w:rPr>
        <w:t>For instance, a</w:t>
      </w:r>
      <w:r w:rsidRPr="00F62BA4">
        <w:rPr>
          <w:rFonts w:ascii="Times New Roman" w:hAnsi="Times New Roman" w:cs="Times New Roman"/>
          <w:sz w:val="24"/>
          <w:szCs w:val="24"/>
        </w:rPr>
        <w:t>ccess to education during the conflict was</w:t>
      </w:r>
      <w:r w:rsidR="002B4292" w:rsidRPr="00F62BA4">
        <w:rPr>
          <w:rFonts w:ascii="Times New Roman" w:hAnsi="Times New Roman" w:cs="Times New Roman"/>
          <w:sz w:val="24"/>
          <w:szCs w:val="24"/>
        </w:rPr>
        <w:t xml:space="preserve"> especially</w:t>
      </w:r>
      <w:r w:rsidRPr="00F62BA4">
        <w:rPr>
          <w:rFonts w:ascii="Times New Roman" w:hAnsi="Times New Roman" w:cs="Times New Roman"/>
          <w:sz w:val="24"/>
          <w:szCs w:val="24"/>
        </w:rPr>
        <w:t xml:space="preserve"> poor and uneven.</w:t>
      </w:r>
      <w:r w:rsidRPr="00F62BA4">
        <w:rPr>
          <w:rStyle w:val="FootnoteReference"/>
          <w:rFonts w:ascii="Times New Roman" w:hAnsi="Times New Roman" w:cs="Times New Roman"/>
          <w:sz w:val="24"/>
          <w:szCs w:val="24"/>
        </w:rPr>
        <w:footnoteReference w:id="72"/>
      </w:r>
      <w:r w:rsidRPr="00F62BA4">
        <w:rPr>
          <w:rFonts w:ascii="Times New Roman" w:hAnsi="Times New Roman" w:cs="Times New Roman"/>
          <w:sz w:val="24"/>
          <w:szCs w:val="24"/>
        </w:rPr>
        <w:t xml:space="preserve"> </w:t>
      </w:r>
      <w:r w:rsidR="002640F4" w:rsidRPr="00F62BA4">
        <w:rPr>
          <w:rFonts w:ascii="Times New Roman" w:hAnsi="Times New Roman" w:cs="Times New Roman"/>
          <w:sz w:val="24"/>
          <w:szCs w:val="24"/>
        </w:rPr>
        <w:t>However, the FNL did little to change this, in spite of its long-term control over rural Bujumbura and Bubanza for much of the conflict.</w:t>
      </w:r>
      <w:r w:rsidR="002640F4" w:rsidRPr="00F62BA4">
        <w:rPr>
          <w:rStyle w:val="FootnoteReference"/>
          <w:rFonts w:ascii="Times New Roman" w:hAnsi="Times New Roman" w:cs="Times New Roman"/>
          <w:sz w:val="24"/>
          <w:szCs w:val="24"/>
        </w:rPr>
        <w:footnoteReference w:id="73"/>
      </w:r>
    </w:p>
    <w:p w:rsidR="0053091F" w:rsidRPr="00F62BA4" w:rsidRDefault="0053091F" w:rsidP="006D0328">
      <w:pPr>
        <w:rPr>
          <w:rFonts w:ascii="Times New Roman" w:hAnsi="Times New Roman" w:cs="Times New Roman"/>
          <w:b/>
          <w:sz w:val="24"/>
          <w:szCs w:val="24"/>
        </w:rPr>
      </w:pPr>
      <w:r w:rsidRPr="00F62BA4">
        <w:rPr>
          <w:rFonts w:ascii="Times New Roman" w:hAnsi="Times New Roman" w:cs="Times New Roman"/>
          <w:b/>
          <w:sz w:val="24"/>
          <w:szCs w:val="24"/>
        </w:rPr>
        <w:t>Cambodia (1978-1991)</w:t>
      </w:r>
    </w:p>
    <w:p w:rsidR="0053091F" w:rsidRPr="00F62BA4" w:rsidRDefault="0053091F" w:rsidP="006D0328">
      <w:pPr>
        <w:rPr>
          <w:rFonts w:ascii="Times New Roman" w:hAnsi="Times New Roman" w:cs="Times New Roman"/>
          <w:sz w:val="24"/>
          <w:szCs w:val="24"/>
        </w:rPr>
      </w:pPr>
      <w:r w:rsidRPr="00F62BA4">
        <w:rPr>
          <w:rFonts w:ascii="Times New Roman" w:hAnsi="Times New Roman" w:cs="Times New Roman"/>
          <w:sz w:val="24"/>
          <w:szCs w:val="24"/>
        </w:rPr>
        <w:t>Rebels / Incumbents:</w:t>
      </w:r>
      <w:r w:rsidR="00A0455E" w:rsidRPr="00F62BA4">
        <w:rPr>
          <w:rFonts w:ascii="Times New Roman" w:hAnsi="Times New Roman" w:cs="Times New Roman"/>
          <w:sz w:val="24"/>
          <w:szCs w:val="24"/>
        </w:rPr>
        <w:t xml:space="preserve"> Kampuchean National United Front for National Salvation (until 1979), People’s Republic of Kampuchea (PRK thereafter) Vietnam</w:t>
      </w:r>
      <w:r w:rsidRPr="00F62BA4">
        <w:rPr>
          <w:rFonts w:ascii="Times New Roman" w:hAnsi="Times New Roman" w:cs="Times New Roman"/>
          <w:sz w:val="24"/>
          <w:szCs w:val="24"/>
        </w:rPr>
        <w:t xml:space="preserve"> / </w:t>
      </w:r>
      <w:r w:rsidR="00A0455E" w:rsidRPr="00F62BA4">
        <w:rPr>
          <w:rFonts w:ascii="Times New Roman" w:hAnsi="Times New Roman" w:cs="Times New Roman"/>
          <w:sz w:val="24"/>
          <w:szCs w:val="24"/>
        </w:rPr>
        <w:t>Khmer Rouge (until 1982), Party of Democratic Kampuchea (1982 and thereafter, also known as Democratic Kampuchea (DK))</w:t>
      </w:r>
      <w:r w:rsidR="00AA69BD" w:rsidRPr="00F62BA4">
        <w:rPr>
          <w:rFonts w:ascii="Times New Roman" w:hAnsi="Times New Roman" w:cs="Times New Roman"/>
          <w:sz w:val="24"/>
          <w:szCs w:val="24"/>
        </w:rPr>
        <w:t>, Khmer People’s National Liberation Front (KPNLF), FUNCINPEC party</w:t>
      </w:r>
      <w:r w:rsidR="00A0455E" w:rsidRPr="00F62BA4">
        <w:rPr>
          <w:rFonts w:ascii="Times New Roman" w:hAnsi="Times New Roman" w:cs="Times New Roman"/>
          <w:sz w:val="24"/>
          <w:szCs w:val="24"/>
        </w:rPr>
        <w:t>.</w:t>
      </w:r>
      <w:r w:rsidR="00546776" w:rsidRPr="00F62BA4">
        <w:rPr>
          <w:rFonts w:ascii="Times New Roman" w:hAnsi="Times New Roman" w:cs="Times New Roman"/>
          <w:sz w:val="24"/>
          <w:szCs w:val="24"/>
        </w:rPr>
        <w:t xml:space="preserve"> After 19</w:t>
      </w:r>
      <w:r w:rsidR="003516BF" w:rsidRPr="00F62BA4">
        <w:rPr>
          <w:rFonts w:ascii="Times New Roman" w:hAnsi="Times New Roman" w:cs="Times New Roman"/>
          <w:sz w:val="24"/>
          <w:szCs w:val="24"/>
        </w:rPr>
        <w:t>79</w:t>
      </w:r>
      <w:r w:rsidR="00546776" w:rsidRPr="00F62BA4">
        <w:rPr>
          <w:rFonts w:ascii="Times New Roman" w:hAnsi="Times New Roman" w:cs="Times New Roman"/>
          <w:sz w:val="24"/>
          <w:szCs w:val="24"/>
        </w:rPr>
        <w:t>, the polarity of incumbents and rebels inverts, with the unrecognized coalition government playing the part of the rebels.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w:t>
      </w:r>
      <w:r w:rsidR="00B80720">
        <w:rPr>
          <w:rFonts w:ascii="Times New Roman" w:hAnsi="Times New Roman" w:cs="Times New Roman"/>
          <w:b/>
          <w:sz w:val="24"/>
          <w:szCs w:val="24"/>
        </w:rPr>
        <w:t>1</w:t>
      </w:r>
      <w:r w:rsidR="00490AF3" w:rsidRPr="00F62BA4">
        <w:rPr>
          <w:rFonts w:ascii="Times New Roman" w:hAnsi="Times New Roman" w:cs="Times New Roman"/>
          <w:b/>
          <w:sz w:val="24"/>
          <w:szCs w:val="24"/>
        </w:rPr>
        <w:t xml:space="preserve">;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xml:space="preserve">: </w:t>
      </w:r>
      <w:r w:rsidR="00B80720">
        <w:rPr>
          <w:rFonts w:ascii="Times New Roman" w:hAnsi="Times New Roman" w:cs="Times New Roman"/>
          <w:b/>
          <w:sz w:val="24"/>
          <w:szCs w:val="24"/>
        </w:rPr>
        <w:t>1</w:t>
      </w:r>
    </w:p>
    <w:p w:rsidR="00DB76B4" w:rsidRPr="00F62BA4" w:rsidRDefault="00DB76B4" w:rsidP="00546776">
      <w:pPr>
        <w:rPr>
          <w:rFonts w:ascii="Times New Roman" w:hAnsi="Times New Roman" w:cs="Times New Roman"/>
          <w:sz w:val="24"/>
          <w:szCs w:val="24"/>
        </w:rPr>
      </w:pPr>
      <w:r w:rsidRPr="00F62BA4">
        <w:rPr>
          <w:rFonts w:ascii="Times New Roman" w:hAnsi="Times New Roman" w:cs="Times New Roman"/>
          <w:sz w:val="24"/>
          <w:szCs w:val="24"/>
        </w:rPr>
        <w:tab/>
      </w:r>
      <w:r w:rsidR="00546776" w:rsidRPr="00F62BA4">
        <w:rPr>
          <w:rFonts w:ascii="Times New Roman" w:hAnsi="Times New Roman" w:cs="Times New Roman"/>
          <w:sz w:val="24"/>
          <w:szCs w:val="24"/>
        </w:rPr>
        <w:t xml:space="preserve">Identifying incumbents and rebels in the case of the Cambodian civil war is especially difficult. One reason for this is that the most powerful group in the conflict was a foreign state. Another is the fact that de jure control over the Cambodian state changed hands over the conflict’s course. </w:t>
      </w:r>
      <w:r w:rsidRPr="00F62BA4">
        <w:rPr>
          <w:rFonts w:ascii="Times New Roman" w:hAnsi="Times New Roman" w:cs="Times New Roman"/>
          <w:sz w:val="24"/>
          <w:szCs w:val="24"/>
        </w:rPr>
        <w:t>The Khmer Rouge regime</w:t>
      </w:r>
      <w:r w:rsidR="00546776" w:rsidRPr="00F62BA4">
        <w:rPr>
          <w:rFonts w:ascii="Times New Roman" w:hAnsi="Times New Roman" w:cs="Times New Roman"/>
          <w:sz w:val="24"/>
          <w:szCs w:val="24"/>
        </w:rPr>
        <w:t xml:space="preserve"> began the conflict as incumbents, but</w:t>
      </w:r>
      <w:r w:rsidRPr="00F62BA4">
        <w:rPr>
          <w:rFonts w:ascii="Times New Roman" w:hAnsi="Times New Roman" w:cs="Times New Roman"/>
          <w:sz w:val="24"/>
          <w:szCs w:val="24"/>
        </w:rPr>
        <w:t xml:space="preserve"> </w:t>
      </w:r>
      <w:r w:rsidR="00546776" w:rsidRPr="00F62BA4">
        <w:rPr>
          <w:rFonts w:ascii="Times New Roman" w:hAnsi="Times New Roman" w:cs="Times New Roman"/>
          <w:sz w:val="24"/>
          <w:szCs w:val="24"/>
        </w:rPr>
        <w:t xml:space="preserve">it </w:t>
      </w:r>
      <w:r w:rsidRPr="00F62BA4">
        <w:rPr>
          <w:rFonts w:ascii="Times New Roman" w:hAnsi="Times New Roman" w:cs="Times New Roman"/>
          <w:sz w:val="24"/>
          <w:szCs w:val="24"/>
        </w:rPr>
        <w:t xml:space="preserve">was the victim of </w:t>
      </w:r>
      <w:r w:rsidR="00546776" w:rsidRPr="00F62BA4">
        <w:rPr>
          <w:rFonts w:ascii="Times New Roman" w:hAnsi="Times New Roman" w:cs="Times New Roman"/>
          <w:sz w:val="24"/>
          <w:szCs w:val="24"/>
        </w:rPr>
        <w:t>its own xenophobia. Concerned more by</w:t>
      </w:r>
      <w:r w:rsidRPr="00F62BA4">
        <w:rPr>
          <w:rFonts w:ascii="Times New Roman" w:hAnsi="Times New Roman" w:cs="Times New Roman"/>
          <w:sz w:val="24"/>
          <w:szCs w:val="24"/>
        </w:rPr>
        <w:t xml:space="preserve"> its saber-rattling along its shared border than</w:t>
      </w:r>
      <w:r w:rsidR="00546776" w:rsidRPr="00F62BA4">
        <w:rPr>
          <w:rFonts w:ascii="Times New Roman" w:hAnsi="Times New Roman" w:cs="Times New Roman"/>
          <w:sz w:val="24"/>
          <w:szCs w:val="24"/>
        </w:rPr>
        <w:t xml:space="preserve"> by</w:t>
      </w:r>
      <w:r w:rsidRPr="00F62BA4">
        <w:rPr>
          <w:rFonts w:ascii="Times New Roman" w:hAnsi="Times New Roman" w:cs="Times New Roman"/>
          <w:sz w:val="24"/>
          <w:szCs w:val="24"/>
        </w:rPr>
        <w:t xml:space="preserve"> its abominable treatment of its populace, Vietnam invaded the country in 1978, overtaking </w:t>
      </w:r>
      <w:r w:rsidRPr="00F62BA4">
        <w:rPr>
          <w:rFonts w:ascii="Times New Roman" w:hAnsi="Times New Roman" w:cs="Times New Roman"/>
          <w:sz w:val="24"/>
          <w:szCs w:val="24"/>
        </w:rPr>
        <w:lastRenderedPageBreak/>
        <w:t>Phnom Penh in 1979.</w:t>
      </w:r>
      <w:r w:rsidRPr="00F62BA4">
        <w:rPr>
          <w:rStyle w:val="FootnoteReference"/>
          <w:rFonts w:ascii="Times New Roman" w:hAnsi="Times New Roman" w:cs="Times New Roman"/>
          <w:sz w:val="24"/>
          <w:szCs w:val="24"/>
        </w:rPr>
        <w:footnoteReference w:id="74"/>
      </w:r>
      <w:r w:rsidRPr="00F62BA4">
        <w:rPr>
          <w:rFonts w:ascii="Times New Roman" w:hAnsi="Times New Roman" w:cs="Times New Roman"/>
          <w:sz w:val="24"/>
          <w:szCs w:val="24"/>
        </w:rPr>
        <w:t xml:space="preserve"> Eventually, the routed remnants of DK were able to reform as a coalition government, incorporating two other parties to strengthen their claim to the Cambodian state. </w:t>
      </w:r>
      <w:r w:rsidR="004B1DCE" w:rsidRPr="00F62BA4">
        <w:rPr>
          <w:rFonts w:ascii="Times New Roman" w:hAnsi="Times New Roman" w:cs="Times New Roman"/>
          <w:sz w:val="24"/>
          <w:szCs w:val="24"/>
        </w:rPr>
        <w:t>This claim would go generally unrecognized.</w:t>
      </w:r>
    </w:p>
    <w:p w:rsidR="004B1DCE" w:rsidRPr="00F62BA4" w:rsidRDefault="004B1DCE" w:rsidP="00546776">
      <w:pPr>
        <w:rPr>
          <w:rFonts w:ascii="Times New Roman" w:hAnsi="Times New Roman" w:cs="Times New Roman"/>
          <w:sz w:val="24"/>
          <w:szCs w:val="24"/>
        </w:rPr>
      </w:pPr>
      <w:r w:rsidRPr="00F62BA4">
        <w:rPr>
          <w:rFonts w:ascii="Times New Roman" w:hAnsi="Times New Roman" w:cs="Times New Roman"/>
          <w:sz w:val="24"/>
          <w:szCs w:val="24"/>
        </w:rPr>
        <w:tab/>
        <w:t>This was, in part, due to Vietnam’s de facto control of Cambodia. The invaders were able to empower a remarkably resilient puppet regime, allowing it to consolidate itself while Vietnamese forces hunted remnants of the old regime.</w:t>
      </w:r>
      <w:r w:rsidRPr="00F62BA4">
        <w:rPr>
          <w:rStyle w:val="FootnoteReference"/>
          <w:rFonts w:ascii="Times New Roman" w:hAnsi="Times New Roman" w:cs="Times New Roman"/>
          <w:sz w:val="24"/>
          <w:szCs w:val="24"/>
        </w:rPr>
        <w:footnoteReference w:id="75"/>
      </w:r>
      <w:r w:rsidR="003516BF" w:rsidRPr="00F62BA4">
        <w:rPr>
          <w:rFonts w:ascii="Times New Roman" w:hAnsi="Times New Roman" w:cs="Times New Roman"/>
          <w:sz w:val="24"/>
          <w:szCs w:val="24"/>
        </w:rPr>
        <w:t xml:space="preserve"> </w:t>
      </w:r>
      <w:r w:rsidR="00050D67" w:rsidRPr="00F62BA4">
        <w:rPr>
          <w:rFonts w:ascii="Times New Roman" w:hAnsi="Times New Roman" w:cs="Times New Roman"/>
          <w:sz w:val="24"/>
          <w:szCs w:val="24"/>
        </w:rPr>
        <w:t>Beginning in 1984, Khmer Rouge insurgents were able to secure a stalemate, maintaining control over the Northwest regions of the country.</w:t>
      </w:r>
      <w:r w:rsidR="00050D67" w:rsidRPr="00F62BA4">
        <w:rPr>
          <w:rStyle w:val="FootnoteReference"/>
          <w:rFonts w:ascii="Times New Roman" w:hAnsi="Times New Roman" w:cs="Times New Roman"/>
          <w:sz w:val="24"/>
          <w:szCs w:val="24"/>
        </w:rPr>
        <w:footnoteReference w:id="76"/>
      </w:r>
      <w:r w:rsidR="00050D67" w:rsidRPr="00F62BA4">
        <w:rPr>
          <w:rFonts w:ascii="Times New Roman" w:hAnsi="Times New Roman" w:cs="Times New Roman"/>
          <w:sz w:val="24"/>
          <w:szCs w:val="24"/>
        </w:rPr>
        <w:t xml:space="preserve"> In spite of this, the government-in-exile was </w:t>
      </w:r>
      <w:r w:rsidR="008B2022" w:rsidRPr="00F62BA4">
        <w:rPr>
          <w:rFonts w:ascii="Times New Roman" w:hAnsi="Times New Roman" w:cs="Times New Roman"/>
          <w:sz w:val="24"/>
          <w:szCs w:val="24"/>
        </w:rPr>
        <w:t xml:space="preserve">not able to provide the goods of </w:t>
      </w:r>
      <w:r w:rsidR="00050D67" w:rsidRPr="00F62BA4">
        <w:rPr>
          <w:rFonts w:ascii="Times New Roman" w:hAnsi="Times New Roman" w:cs="Times New Roman"/>
          <w:sz w:val="24"/>
          <w:szCs w:val="24"/>
        </w:rPr>
        <w:t>governance within its controlled territories.</w:t>
      </w:r>
    </w:p>
    <w:p w:rsidR="00050D67" w:rsidRDefault="00050D67" w:rsidP="00546776">
      <w:pPr>
        <w:rPr>
          <w:rFonts w:ascii="Times New Roman" w:hAnsi="Times New Roman" w:cs="Times New Roman"/>
          <w:sz w:val="24"/>
          <w:szCs w:val="24"/>
        </w:rPr>
      </w:pPr>
      <w:r w:rsidRPr="00F62BA4">
        <w:rPr>
          <w:rFonts w:ascii="Times New Roman" w:hAnsi="Times New Roman" w:cs="Times New Roman"/>
          <w:sz w:val="24"/>
          <w:szCs w:val="24"/>
        </w:rPr>
        <w:tab/>
      </w:r>
      <w:r w:rsidR="008B2022" w:rsidRPr="00F62BA4">
        <w:rPr>
          <w:rFonts w:ascii="Times New Roman" w:hAnsi="Times New Roman" w:cs="Times New Roman"/>
          <w:sz w:val="24"/>
          <w:szCs w:val="24"/>
        </w:rPr>
        <w:t>Although members of the coalition attempted to reach out to the population in Cambodia, they were not terribly successful in governing, in part due to the more pressing problem of the Vietnam-backed government in Phnom Penh.</w:t>
      </w:r>
      <w:r w:rsidR="008B2022" w:rsidRPr="00F62BA4">
        <w:rPr>
          <w:rStyle w:val="FootnoteReference"/>
          <w:rFonts w:ascii="Times New Roman" w:hAnsi="Times New Roman" w:cs="Times New Roman"/>
          <w:sz w:val="24"/>
          <w:szCs w:val="24"/>
        </w:rPr>
        <w:footnoteReference w:id="77"/>
      </w:r>
      <w:r w:rsidR="008B2022" w:rsidRPr="00F62BA4">
        <w:rPr>
          <w:rFonts w:ascii="Times New Roman" w:hAnsi="Times New Roman" w:cs="Times New Roman"/>
          <w:sz w:val="24"/>
          <w:szCs w:val="24"/>
        </w:rPr>
        <w:t xml:space="preserve"> Even their outreach programs ran into issues due to the unpopularity of the Khmer Rouge—while alliance with the old guard helped balance against the hostile forces in the capital, Cambodian memories of the old regime meant that the government-in-exile had enormous difficulties securing support. </w:t>
      </w:r>
      <w:r w:rsidR="001E70C7" w:rsidRPr="00F62BA4">
        <w:rPr>
          <w:rFonts w:ascii="Times New Roman" w:hAnsi="Times New Roman" w:cs="Times New Roman"/>
          <w:sz w:val="24"/>
          <w:szCs w:val="24"/>
        </w:rPr>
        <w:t>There is evidence that schools and clinics existed, but none that the groups themselves ran them.</w:t>
      </w:r>
      <w:r w:rsidR="001E70C7" w:rsidRPr="00F62BA4">
        <w:rPr>
          <w:rStyle w:val="FootnoteReference"/>
          <w:rFonts w:ascii="Times New Roman" w:hAnsi="Times New Roman" w:cs="Times New Roman"/>
          <w:sz w:val="24"/>
          <w:szCs w:val="24"/>
        </w:rPr>
        <w:footnoteReference w:id="78"/>
      </w:r>
      <w:r w:rsidR="008B2022" w:rsidRPr="00F62BA4">
        <w:rPr>
          <w:rFonts w:ascii="Times New Roman" w:hAnsi="Times New Roman" w:cs="Times New Roman"/>
          <w:sz w:val="24"/>
          <w:szCs w:val="24"/>
        </w:rPr>
        <w:t xml:space="preserve"> </w:t>
      </w:r>
    </w:p>
    <w:p w:rsidR="007B0863" w:rsidRDefault="007F198F" w:rsidP="00546776">
      <w:pPr>
        <w:rPr>
          <w:rFonts w:ascii="Times New Roman" w:hAnsi="Times New Roman" w:cs="Times New Roman"/>
          <w:sz w:val="24"/>
          <w:szCs w:val="24"/>
        </w:rPr>
      </w:pPr>
      <w:r>
        <w:rPr>
          <w:rFonts w:ascii="Times New Roman" w:hAnsi="Times New Roman" w:cs="Times New Roman"/>
          <w:sz w:val="24"/>
          <w:szCs w:val="24"/>
        </w:rPr>
        <w:tab/>
      </w:r>
      <w:r w:rsidR="00106CBF">
        <w:rPr>
          <w:rFonts w:ascii="Times New Roman" w:hAnsi="Times New Roman" w:cs="Times New Roman"/>
          <w:sz w:val="24"/>
          <w:szCs w:val="24"/>
        </w:rPr>
        <w:t>What each group did run were the “camps,” collections of civilians which were nominally under the groups’ protection. However, many observers noted that these camps provided little in the way of shelter, to say nothing of governance.</w:t>
      </w:r>
      <w:r w:rsidR="007B1C4F">
        <w:rPr>
          <w:rFonts w:ascii="Times New Roman" w:hAnsi="Times New Roman" w:cs="Times New Roman"/>
          <w:sz w:val="24"/>
          <w:szCs w:val="24"/>
        </w:rPr>
        <w:t xml:space="preserve"> The governance provided in these camps (or rather the lack thereof) pales in comparison of what the Vietnamese patrons of the PRK had.</w:t>
      </w:r>
      <w:r w:rsidR="007B1C4F">
        <w:rPr>
          <w:rStyle w:val="FootnoteReference"/>
          <w:rFonts w:ascii="Times New Roman" w:hAnsi="Times New Roman" w:cs="Times New Roman"/>
          <w:sz w:val="24"/>
          <w:szCs w:val="24"/>
        </w:rPr>
        <w:footnoteReference w:id="79"/>
      </w:r>
      <w:r w:rsidR="00A6748F">
        <w:rPr>
          <w:rFonts w:ascii="Times New Roman" w:hAnsi="Times New Roman" w:cs="Times New Roman"/>
          <w:sz w:val="24"/>
          <w:szCs w:val="24"/>
        </w:rPr>
        <w:t xml:space="preserve"> Human rights were trampled upon in each factions camps (fact-finding missions reported that PRK civilians dealt with similar issues, although some scholars question the sources of these reports).</w:t>
      </w:r>
      <w:r w:rsidR="007B0863">
        <w:rPr>
          <w:rStyle w:val="FootnoteReference"/>
          <w:rFonts w:ascii="Times New Roman" w:hAnsi="Times New Roman" w:cs="Times New Roman"/>
          <w:sz w:val="24"/>
          <w:szCs w:val="24"/>
        </w:rPr>
        <w:footnoteReference w:id="80"/>
      </w:r>
    </w:p>
    <w:p w:rsidR="007B0863" w:rsidRDefault="007B0863" w:rsidP="00546776">
      <w:pPr>
        <w:rPr>
          <w:rFonts w:ascii="Times New Roman" w:hAnsi="Times New Roman" w:cs="Times New Roman"/>
          <w:sz w:val="24"/>
          <w:szCs w:val="24"/>
        </w:rPr>
      </w:pPr>
      <w:r>
        <w:rPr>
          <w:rFonts w:ascii="Times New Roman" w:hAnsi="Times New Roman" w:cs="Times New Roman"/>
          <w:sz w:val="24"/>
          <w:szCs w:val="24"/>
        </w:rPr>
        <w:tab/>
      </w:r>
      <w:r w:rsidR="00A6748F">
        <w:rPr>
          <w:rFonts w:ascii="Times New Roman" w:hAnsi="Times New Roman" w:cs="Times New Roman"/>
          <w:sz w:val="24"/>
          <w:szCs w:val="24"/>
        </w:rPr>
        <w:t xml:space="preserve">One of the most persistent issues in the camps is rampant criminality—despite the presence of soldiers, nothing like order </w:t>
      </w:r>
      <w:r w:rsidR="00920A35">
        <w:rPr>
          <w:rFonts w:ascii="Times New Roman" w:hAnsi="Times New Roman" w:cs="Times New Roman"/>
          <w:sz w:val="24"/>
          <w:szCs w:val="24"/>
        </w:rPr>
        <w:t>had</w:t>
      </w:r>
      <w:r w:rsidR="00A6748F">
        <w:rPr>
          <w:rFonts w:ascii="Times New Roman" w:hAnsi="Times New Roman" w:cs="Times New Roman"/>
          <w:sz w:val="24"/>
          <w:szCs w:val="24"/>
        </w:rPr>
        <w:t xml:space="preserve"> emerged.</w:t>
      </w:r>
      <w:r w:rsidR="00920A35">
        <w:rPr>
          <w:rFonts w:ascii="Times New Roman" w:hAnsi="Times New Roman" w:cs="Times New Roman"/>
          <w:sz w:val="24"/>
          <w:szCs w:val="24"/>
        </w:rPr>
        <w:t xml:space="preserve"> Cambodian state policing and juridical functions were rudimentary, even towards the conflict’s end</w:t>
      </w:r>
      <w:r>
        <w:rPr>
          <w:rFonts w:ascii="Times New Roman" w:hAnsi="Times New Roman" w:cs="Times New Roman"/>
          <w:sz w:val="24"/>
          <w:szCs w:val="24"/>
        </w:rPr>
        <w:t xml:space="preserve">, but they far outperformed those in </w:t>
      </w:r>
      <w:r>
        <w:rPr>
          <w:rFonts w:ascii="Times New Roman" w:hAnsi="Times New Roman" w:cs="Times New Roman"/>
          <w:sz w:val="24"/>
          <w:szCs w:val="24"/>
        </w:rPr>
        <w:lastRenderedPageBreak/>
        <w:t>rebel-controlled territory. Healthcare facilities existed in this territory, but civilians were barred from using them.</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p>
    <w:p w:rsidR="00B80720" w:rsidRDefault="007B0863" w:rsidP="00546776">
      <w:pPr>
        <w:rPr>
          <w:rFonts w:ascii="Times New Roman" w:hAnsi="Times New Roman" w:cs="Times New Roman"/>
          <w:sz w:val="24"/>
          <w:szCs w:val="24"/>
        </w:rPr>
      </w:pPr>
      <w:r>
        <w:rPr>
          <w:rFonts w:ascii="Times New Roman" w:hAnsi="Times New Roman" w:cs="Times New Roman"/>
          <w:sz w:val="24"/>
          <w:szCs w:val="24"/>
        </w:rPr>
        <w:tab/>
      </w:r>
      <w:r w:rsidR="002A7772">
        <w:rPr>
          <w:rFonts w:ascii="Times New Roman" w:hAnsi="Times New Roman" w:cs="Times New Roman"/>
          <w:sz w:val="24"/>
          <w:szCs w:val="24"/>
        </w:rPr>
        <w:t>A rare</w:t>
      </w:r>
      <w:r>
        <w:rPr>
          <w:rFonts w:ascii="Times New Roman" w:hAnsi="Times New Roman" w:cs="Times New Roman"/>
          <w:sz w:val="24"/>
          <w:szCs w:val="24"/>
        </w:rPr>
        <w:t xml:space="preserve"> exception to this pattern is, ironically, the former KR rebels under the DK banner. </w:t>
      </w:r>
      <w:r w:rsidR="001F65A8">
        <w:rPr>
          <w:rFonts w:ascii="Times New Roman" w:hAnsi="Times New Roman" w:cs="Times New Roman"/>
          <w:sz w:val="24"/>
          <w:szCs w:val="24"/>
        </w:rPr>
        <w:t>The</w:t>
      </w:r>
      <w:r>
        <w:rPr>
          <w:rFonts w:ascii="Times New Roman" w:hAnsi="Times New Roman" w:cs="Times New Roman"/>
          <w:sz w:val="24"/>
          <w:szCs w:val="24"/>
        </w:rPr>
        <w:t xml:space="preserve"> mo</w:t>
      </w:r>
      <w:r w:rsidR="001F65A8">
        <w:rPr>
          <w:rFonts w:ascii="Times New Roman" w:hAnsi="Times New Roman" w:cs="Times New Roman"/>
          <w:sz w:val="24"/>
          <w:szCs w:val="24"/>
        </w:rPr>
        <w:t>st</w:t>
      </w:r>
      <w:r>
        <w:rPr>
          <w:rFonts w:ascii="Times New Roman" w:hAnsi="Times New Roman" w:cs="Times New Roman"/>
          <w:sz w:val="24"/>
          <w:szCs w:val="24"/>
        </w:rPr>
        <w:t xml:space="preserve"> noteworthy difference is the temporary presence of elected administration.</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This development may have been a part of DK’s efforts to rebrand itself as a pro-democratic party, but the temporary nature </w:t>
      </w:r>
      <w:r w:rsidR="00BF2D65">
        <w:rPr>
          <w:rFonts w:ascii="Times New Roman" w:hAnsi="Times New Roman" w:cs="Times New Roman"/>
          <w:sz w:val="24"/>
          <w:szCs w:val="24"/>
        </w:rPr>
        <w:t>of the administration suggests that this may have been a cosmetic shift.</w:t>
      </w:r>
      <w:r>
        <w:rPr>
          <w:rStyle w:val="FootnoteReference"/>
          <w:rFonts w:ascii="Times New Roman" w:hAnsi="Times New Roman" w:cs="Times New Roman"/>
          <w:sz w:val="24"/>
          <w:szCs w:val="24"/>
        </w:rPr>
        <w:footnoteReference w:id="83"/>
      </w:r>
      <w:r w:rsidR="00BF2D65">
        <w:rPr>
          <w:rFonts w:ascii="Times New Roman" w:hAnsi="Times New Roman" w:cs="Times New Roman"/>
          <w:sz w:val="24"/>
          <w:szCs w:val="24"/>
        </w:rPr>
        <w:t xml:space="preserve"> For instance, the elected civilian leadership was removed for being too tolerant of criticism or of sympathetic positions regarding the other rebel groups.</w:t>
      </w:r>
      <w:r w:rsidR="00BF2D65">
        <w:rPr>
          <w:rStyle w:val="FootnoteReference"/>
          <w:rFonts w:ascii="Times New Roman" w:hAnsi="Times New Roman" w:cs="Times New Roman"/>
          <w:sz w:val="24"/>
          <w:szCs w:val="24"/>
        </w:rPr>
        <w:footnoteReference w:id="84"/>
      </w:r>
    </w:p>
    <w:p w:rsidR="001F65A8" w:rsidRDefault="001F65A8" w:rsidP="00546776">
      <w:pPr>
        <w:rPr>
          <w:rFonts w:ascii="Times New Roman" w:hAnsi="Times New Roman" w:cs="Times New Roman"/>
          <w:sz w:val="24"/>
          <w:szCs w:val="24"/>
        </w:rPr>
      </w:pPr>
      <w:r>
        <w:rPr>
          <w:rFonts w:ascii="Times New Roman" w:hAnsi="Times New Roman" w:cs="Times New Roman"/>
          <w:sz w:val="24"/>
          <w:szCs w:val="24"/>
        </w:rPr>
        <w:tab/>
        <w:t>Another difference between DK camps and others is the relatively lower rate of criminality.</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DK forces set aside personnel to handle arrest, punishment, and release of prisoners. The purpose of this appears to be control of the population—individuals are not only not allowed to leave the camp, they are not allowed to “defect” to another DK camp.</w:t>
      </w:r>
      <w:r>
        <w:rPr>
          <w:rStyle w:val="FootnoteReference"/>
          <w:rFonts w:ascii="Times New Roman" w:hAnsi="Times New Roman" w:cs="Times New Roman"/>
          <w:sz w:val="24"/>
          <w:szCs w:val="24"/>
        </w:rPr>
        <w:footnoteReference w:id="86"/>
      </w:r>
    </w:p>
    <w:p w:rsidR="00C50C82" w:rsidRPr="00F62BA4" w:rsidRDefault="001F65A8" w:rsidP="00546776">
      <w:pPr>
        <w:rPr>
          <w:rFonts w:ascii="Times New Roman" w:hAnsi="Times New Roman" w:cs="Times New Roman"/>
          <w:sz w:val="24"/>
          <w:szCs w:val="24"/>
        </w:rPr>
      </w:pPr>
      <w:r>
        <w:rPr>
          <w:rFonts w:ascii="Times New Roman" w:hAnsi="Times New Roman" w:cs="Times New Roman"/>
          <w:sz w:val="24"/>
          <w:szCs w:val="24"/>
        </w:rPr>
        <w:tab/>
        <w:t>It appears that the KPNLF has a somewhat similar arrangement</w:t>
      </w:r>
      <w:r w:rsidR="00333E1C">
        <w:rPr>
          <w:rFonts w:ascii="Times New Roman" w:hAnsi="Times New Roman" w:cs="Times New Roman"/>
          <w:sz w:val="24"/>
          <w:szCs w:val="24"/>
        </w:rPr>
        <w:t>. In addition to efforts to enforce discipline,</w:t>
      </w:r>
      <w:r w:rsidR="00992752">
        <w:rPr>
          <w:rStyle w:val="FootnoteReference"/>
          <w:rFonts w:ascii="Times New Roman" w:hAnsi="Times New Roman" w:cs="Times New Roman"/>
          <w:sz w:val="24"/>
          <w:szCs w:val="24"/>
        </w:rPr>
        <w:footnoteReference w:id="87"/>
      </w:r>
      <w:r w:rsidR="00333E1C">
        <w:rPr>
          <w:rFonts w:ascii="Times New Roman" w:hAnsi="Times New Roman" w:cs="Times New Roman"/>
          <w:sz w:val="24"/>
          <w:szCs w:val="24"/>
        </w:rPr>
        <w:t xml:space="preserve"> </w:t>
      </w:r>
      <w:r w:rsidR="00992752">
        <w:rPr>
          <w:rFonts w:ascii="Times New Roman" w:hAnsi="Times New Roman" w:cs="Times New Roman"/>
          <w:sz w:val="24"/>
          <w:szCs w:val="24"/>
        </w:rPr>
        <w:t>the group has also arranged for civilian and military administrators to participate in “Justice Committees” to handle especially serious crimes.</w:t>
      </w:r>
      <w:r w:rsidR="00992752">
        <w:rPr>
          <w:rStyle w:val="FootnoteReference"/>
          <w:rFonts w:ascii="Times New Roman" w:hAnsi="Times New Roman" w:cs="Times New Roman"/>
          <w:sz w:val="24"/>
          <w:szCs w:val="24"/>
        </w:rPr>
        <w:footnoteReference w:id="88"/>
      </w:r>
      <w:r w:rsidR="00992752">
        <w:rPr>
          <w:rFonts w:ascii="Times New Roman" w:hAnsi="Times New Roman" w:cs="Times New Roman"/>
          <w:sz w:val="24"/>
          <w:szCs w:val="24"/>
        </w:rPr>
        <w:t xml:space="preserve"> While impressive in terms of the incorporation of civilians in their administration and in terms of institutionalizing the juridical apparatus, some observers were less impressed by these efforts. In particular, Asia Watch, a division of Human Rights Watch, noted that by the 1990s, the KPNLF had “lost control” of its forces and that whatever institutions had emerged in their controlled territory had ceased to function.</w:t>
      </w:r>
      <w:r w:rsidR="00992752">
        <w:rPr>
          <w:rStyle w:val="FootnoteReference"/>
          <w:rFonts w:ascii="Times New Roman" w:hAnsi="Times New Roman" w:cs="Times New Roman"/>
          <w:sz w:val="24"/>
          <w:szCs w:val="24"/>
        </w:rPr>
        <w:footnoteReference w:id="89"/>
      </w:r>
      <w:r w:rsidR="00992752">
        <w:rPr>
          <w:rFonts w:ascii="Times New Roman" w:hAnsi="Times New Roman" w:cs="Times New Roman"/>
          <w:sz w:val="24"/>
          <w:szCs w:val="24"/>
        </w:rPr>
        <w:t xml:space="preserve"> </w:t>
      </w:r>
    </w:p>
    <w:p w:rsidR="00BA1033" w:rsidRPr="00F62BA4" w:rsidRDefault="00BA1033" w:rsidP="006D0328">
      <w:pPr>
        <w:rPr>
          <w:rFonts w:ascii="Times New Roman" w:hAnsi="Times New Roman" w:cs="Times New Roman"/>
          <w:b/>
          <w:sz w:val="24"/>
          <w:szCs w:val="24"/>
        </w:rPr>
      </w:pPr>
      <w:r w:rsidRPr="00F62BA4">
        <w:rPr>
          <w:rFonts w:ascii="Times New Roman" w:hAnsi="Times New Roman" w:cs="Times New Roman"/>
          <w:b/>
          <w:sz w:val="24"/>
          <w:szCs w:val="24"/>
        </w:rPr>
        <w:t>Chad (1980-1988)</w:t>
      </w:r>
    </w:p>
    <w:p w:rsidR="00BA1033" w:rsidRPr="00F62BA4" w:rsidRDefault="00BA1033" w:rsidP="006D0328">
      <w:pPr>
        <w:rPr>
          <w:rFonts w:ascii="Times New Roman" w:hAnsi="Times New Roman" w:cs="Times New Roman"/>
          <w:sz w:val="24"/>
          <w:szCs w:val="24"/>
        </w:rPr>
      </w:pPr>
      <w:r w:rsidRPr="00F62BA4">
        <w:rPr>
          <w:rFonts w:ascii="Times New Roman" w:hAnsi="Times New Roman" w:cs="Times New Roman"/>
          <w:sz w:val="24"/>
          <w:szCs w:val="24"/>
        </w:rPr>
        <w:t>Rebels / Incumbents:</w:t>
      </w:r>
      <w:r w:rsidR="005D2A77" w:rsidRPr="00F62BA4">
        <w:rPr>
          <w:rFonts w:ascii="Times New Roman" w:hAnsi="Times New Roman" w:cs="Times New Roman"/>
          <w:sz w:val="24"/>
          <w:szCs w:val="24"/>
        </w:rPr>
        <w:t xml:space="preserve"> National Liberation Front of Chad (FRONILAT),</w:t>
      </w:r>
      <w:r w:rsidR="00D8642D" w:rsidRPr="00F62BA4">
        <w:rPr>
          <w:rFonts w:ascii="Times New Roman" w:hAnsi="Times New Roman" w:cs="Times New Roman"/>
          <w:sz w:val="24"/>
          <w:szCs w:val="24"/>
        </w:rPr>
        <w:t xml:space="preserve"> Armed Forces of the North (FAN) (until 1982);</w:t>
      </w:r>
      <w:r w:rsidR="000210A0" w:rsidRPr="00F62BA4">
        <w:rPr>
          <w:rFonts w:ascii="Times New Roman" w:hAnsi="Times New Roman" w:cs="Times New Roman"/>
          <w:sz w:val="24"/>
          <w:szCs w:val="24"/>
        </w:rPr>
        <w:t xml:space="preserve"> </w:t>
      </w:r>
      <w:r w:rsidR="00D8642D" w:rsidRPr="00F62BA4">
        <w:rPr>
          <w:rFonts w:ascii="Times New Roman" w:hAnsi="Times New Roman" w:cs="Times New Roman"/>
          <w:sz w:val="24"/>
          <w:szCs w:val="24"/>
        </w:rPr>
        <w:t>Transitional Government of National Un</w:t>
      </w:r>
      <w:r w:rsidR="00D35340" w:rsidRPr="00F62BA4">
        <w:rPr>
          <w:rFonts w:ascii="Times New Roman" w:hAnsi="Times New Roman" w:cs="Times New Roman"/>
          <w:sz w:val="24"/>
          <w:szCs w:val="24"/>
        </w:rPr>
        <w:t>ity (GUNT) (1982 and following)</w:t>
      </w:r>
      <w:r w:rsidR="00D8642D" w:rsidRPr="00F62BA4">
        <w:rPr>
          <w:rFonts w:ascii="Times New Roman" w:hAnsi="Times New Roman" w:cs="Times New Roman"/>
          <w:sz w:val="24"/>
          <w:szCs w:val="24"/>
        </w:rPr>
        <w:t xml:space="preserve"> </w:t>
      </w:r>
      <w:r w:rsidR="00024B06" w:rsidRPr="00F62BA4">
        <w:rPr>
          <w:rFonts w:ascii="Times New Roman" w:hAnsi="Times New Roman" w:cs="Times New Roman"/>
          <w:sz w:val="24"/>
          <w:szCs w:val="24"/>
        </w:rPr>
        <w:t xml:space="preserve">/ </w:t>
      </w:r>
      <w:r w:rsidR="00D8642D" w:rsidRPr="00F62BA4">
        <w:rPr>
          <w:rFonts w:ascii="Times New Roman" w:hAnsi="Times New Roman" w:cs="Times New Roman"/>
          <w:sz w:val="24"/>
          <w:szCs w:val="24"/>
        </w:rPr>
        <w:t>GUNT</w:t>
      </w:r>
      <w:r w:rsidR="00D175DB" w:rsidRPr="00F62BA4">
        <w:rPr>
          <w:rFonts w:ascii="Times New Roman" w:hAnsi="Times New Roman" w:cs="Times New Roman"/>
          <w:sz w:val="24"/>
          <w:szCs w:val="24"/>
        </w:rPr>
        <w:t xml:space="preserve"> (until 1982);</w:t>
      </w:r>
      <w:r w:rsidR="00D8642D" w:rsidRPr="00F62BA4">
        <w:rPr>
          <w:rFonts w:ascii="Times New Roman" w:hAnsi="Times New Roman" w:cs="Times New Roman"/>
          <w:sz w:val="24"/>
          <w:szCs w:val="24"/>
        </w:rPr>
        <w:t xml:space="preserve"> FAN (1982 and following)</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024B06" w:rsidRPr="00F62BA4" w:rsidRDefault="00024B06" w:rsidP="00024B06">
      <w:pPr>
        <w:ind w:firstLine="720"/>
        <w:rPr>
          <w:rFonts w:ascii="Times New Roman" w:hAnsi="Times New Roman" w:cs="Times New Roman"/>
          <w:bCs/>
          <w:sz w:val="24"/>
          <w:szCs w:val="24"/>
        </w:rPr>
      </w:pPr>
      <w:r w:rsidRPr="00F62BA4">
        <w:rPr>
          <w:rFonts w:ascii="Times New Roman" w:hAnsi="Times New Roman" w:cs="Times New Roman"/>
          <w:sz w:val="24"/>
          <w:szCs w:val="24"/>
        </w:rPr>
        <w:t>Many of the civil wars listed here played out as hybrid conflicts, involving both domestic forces and foreigners. Sometimes these foreign states are patrons, as is the case with Libya in this particular conflict, coming on the heels of another civil war which had effectively broken the state. Because of this, identifying rebels and incumbe</w:t>
      </w:r>
      <w:r w:rsidR="00D175DB" w:rsidRPr="00F62BA4">
        <w:rPr>
          <w:rFonts w:ascii="Times New Roman" w:hAnsi="Times New Roman" w:cs="Times New Roman"/>
          <w:sz w:val="24"/>
          <w:szCs w:val="24"/>
        </w:rPr>
        <w:t xml:space="preserve">nts is exceptionally difficult, to the point </w:t>
      </w:r>
      <w:r w:rsidR="00D175DB" w:rsidRPr="00F62BA4">
        <w:rPr>
          <w:rFonts w:ascii="Times New Roman" w:hAnsi="Times New Roman" w:cs="Times New Roman"/>
          <w:sz w:val="24"/>
          <w:szCs w:val="24"/>
        </w:rPr>
        <w:lastRenderedPageBreak/>
        <w:t xml:space="preserve">that such distinctions may not be useful or even valid in this case. It is most accurate to say that the status of incumbent changes over the conflict. Goukouni Oueddei’s GUNT had established control over the country in the waning days of the previous civil war, but was only able to maintain control of what remained of the Chadian state until 1982. GUNT did not dissolve at this point—rather it became a rebel group. At this point, </w:t>
      </w:r>
      <w:r w:rsidR="00D175DB" w:rsidRPr="00F62BA4">
        <w:rPr>
          <w:rFonts w:ascii="Times New Roman" w:hAnsi="Times New Roman" w:cs="Times New Roman"/>
          <w:bCs/>
          <w:sz w:val="24"/>
          <w:szCs w:val="24"/>
        </w:rPr>
        <w:t>Hissène Habré’s Armed Forces of the North (FAN) became the incumbent, as it controlled the capital and was the de facto governing authority.</w:t>
      </w:r>
      <w:r w:rsidR="00790302" w:rsidRPr="00F62BA4">
        <w:rPr>
          <w:rStyle w:val="FootnoteReference"/>
          <w:rFonts w:ascii="Times New Roman" w:hAnsi="Times New Roman" w:cs="Times New Roman"/>
          <w:bCs/>
          <w:sz w:val="24"/>
          <w:szCs w:val="24"/>
        </w:rPr>
        <w:footnoteReference w:id="90"/>
      </w:r>
    </w:p>
    <w:p w:rsidR="00605C41" w:rsidRPr="00F62BA4" w:rsidRDefault="00605C41" w:rsidP="00024B06">
      <w:pPr>
        <w:ind w:firstLine="720"/>
        <w:rPr>
          <w:rFonts w:ascii="Times New Roman" w:hAnsi="Times New Roman" w:cs="Times New Roman"/>
          <w:bCs/>
          <w:sz w:val="24"/>
          <w:szCs w:val="24"/>
        </w:rPr>
      </w:pPr>
      <w:r w:rsidRPr="00F62BA4">
        <w:rPr>
          <w:rFonts w:ascii="Times New Roman" w:hAnsi="Times New Roman" w:cs="Times New Roman"/>
          <w:bCs/>
          <w:sz w:val="24"/>
          <w:szCs w:val="24"/>
        </w:rPr>
        <w:t>Prior to seizing power, FAN did little</w:t>
      </w:r>
      <w:r w:rsidR="00D35340" w:rsidRPr="00F62BA4">
        <w:rPr>
          <w:rFonts w:ascii="Times New Roman" w:hAnsi="Times New Roman" w:cs="Times New Roman"/>
          <w:bCs/>
          <w:sz w:val="24"/>
          <w:szCs w:val="24"/>
        </w:rPr>
        <w:t xml:space="preserve"> in the way of rebel governance.</w:t>
      </w:r>
      <w:r w:rsidR="00210689" w:rsidRPr="00F62BA4">
        <w:rPr>
          <w:rStyle w:val="FootnoteReference"/>
          <w:rFonts w:ascii="Times New Roman" w:hAnsi="Times New Roman" w:cs="Times New Roman"/>
          <w:bCs/>
          <w:sz w:val="24"/>
          <w:szCs w:val="24"/>
        </w:rPr>
        <w:footnoteReference w:id="91"/>
      </w:r>
      <w:r w:rsidR="00D35340" w:rsidRPr="00F62BA4">
        <w:rPr>
          <w:rFonts w:ascii="Times New Roman" w:hAnsi="Times New Roman" w:cs="Times New Roman"/>
          <w:bCs/>
          <w:sz w:val="24"/>
          <w:szCs w:val="24"/>
        </w:rPr>
        <w:t xml:space="preserve"> Similarly, GUNT’s attempts to administer its territory as an incumbent in the terms of this study were unsuccessful.</w:t>
      </w:r>
      <w:r w:rsidRPr="00F62BA4">
        <w:rPr>
          <w:rFonts w:ascii="Times New Roman" w:hAnsi="Times New Roman" w:cs="Times New Roman"/>
          <w:bCs/>
          <w:sz w:val="24"/>
          <w:szCs w:val="24"/>
        </w:rPr>
        <w:t xml:space="preserve"> </w:t>
      </w:r>
      <w:r w:rsidR="00D35340" w:rsidRPr="00F62BA4">
        <w:rPr>
          <w:rFonts w:ascii="Times New Roman" w:hAnsi="Times New Roman" w:cs="Times New Roman"/>
          <w:bCs/>
          <w:sz w:val="24"/>
          <w:szCs w:val="24"/>
        </w:rPr>
        <w:t>On the other hand,</w:t>
      </w:r>
      <w:r w:rsidRPr="00F62BA4">
        <w:rPr>
          <w:rFonts w:ascii="Times New Roman" w:hAnsi="Times New Roman" w:cs="Times New Roman"/>
          <w:bCs/>
          <w:sz w:val="24"/>
          <w:szCs w:val="24"/>
        </w:rPr>
        <w:t xml:space="preserve"> GUNT (as well as several southern militias) made more concerted attempts to administer the territory they occupied and controlled. GUNT’s ability to operate and linger on, even considering its Libyan patrons, is almost unique—GUNT had been ousted from power, but yet it was able to retreat and reconstitute itself</w:t>
      </w:r>
      <w:r w:rsidR="00BA7C5F" w:rsidRPr="00F62BA4">
        <w:rPr>
          <w:rFonts w:ascii="Times New Roman" w:hAnsi="Times New Roman" w:cs="Times New Roman"/>
          <w:bCs/>
          <w:sz w:val="24"/>
          <w:szCs w:val="24"/>
        </w:rPr>
        <w:t xml:space="preserve"> as a center-seeking “shadow government.”</w:t>
      </w:r>
      <w:r w:rsidR="00BA7C5F" w:rsidRPr="00F62BA4">
        <w:rPr>
          <w:rStyle w:val="FootnoteReference"/>
          <w:rFonts w:ascii="Times New Roman" w:hAnsi="Times New Roman" w:cs="Times New Roman"/>
          <w:bCs/>
          <w:sz w:val="24"/>
          <w:szCs w:val="24"/>
        </w:rPr>
        <w:footnoteReference w:id="92"/>
      </w:r>
    </w:p>
    <w:p w:rsidR="003D19C2" w:rsidRPr="00F62BA4" w:rsidRDefault="005F3218" w:rsidP="00024B06">
      <w:pPr>
        <w:ind w:firstLine="720"/>
        <w:rPr>
          <w:rFonts w:ascii="Times New Roman" w:hAnsi="Times New Roman" w:cs="Times New Roman"/>
          <w:sz w:val="24"/>
          <w:szCs w:val="24"/>
        </w:rPr>
      </w:pPr>
      <w:r w:rsidRPr="00F62BA4">
        <w:rPr>
          <w:rFonts w:ascii="Times New Roman" w:hAnsi="Times New Roman" w:cs="Times New Roman"/>
          <w:bCs/>
          <w:sz w:val="24"/>
          <w:szCs w:val="24"/>
        </w:rPr>
        <w:t>Success in this enterprise was not forthcoming, though. Even though GUNT was able to linger due to FAN’s profoundly sub-Weberian control of Chad,</w:t>
      </w:r>
      <w:r w:rsidR="002B20B5" w:rsidRPr="00F62BA4">
        <w:rPr>
          <w:rStyle w:val="FootnoteReference"/>
          <w:rFonts w:ascii="Times New Roman" w:hAnsi="Times New Roman" w:cs="Times New Roman"/>
          <w:bCs/>
          <w:sz w:val="24"/>
          <w:szCs w:val="24"/>
        </w:rPr>
        <w:footnoteReference w:id="93"/>
      </w:r>
      <w:r w:rsidRPr="00F62BA4">
        <w:rPr>
          <w:rFonts w:ascii="Times New Roman" w:hAnsi="Times New Roman" w:cs="Times New Roman"/>
          <w:bCs/>
          <w:sz w:val="24"/>
          <w:szCs w:val="24"/>
        </w:rPr>
        <w:t xml:space="preserve"> GUNT’s position was hardly stable.</w:t>
      </w:r>
      <w:r w:rsidRPr="00F62BA4">
        <w:rPr>
          <w:rStyle w:val="FootnoteReference"/>
          <w:rFonts w:ascii="Times New Roman" w:hAnsi="Times New Roman" w:cs="Times New Roman"/>
          <w:bCs/>
          <w:sz w:val="24"/>
          <w:szCs w:val="24"/>
        </w:rPr>
        <w:footnoteReference w:id="94"/>
      </w:r>
      <w:r w:rsidRPr="00F62BA4">
        <w:rPr>
          <w:rFonts w:ascii="Times New Roman" w:hAnsi="Times New Roman" w:cs="Times New Roman"/>
          <w:bCs/>
          <w:sz w:val="24"/>
          <w:szCs w:val="24"/>
        </w:rPr>
        <w:t xml:space="preserve"> In part, this was due to its status as a coalition, relying upon the loyalty of the Chadian Armed Forces (FAT), the People’s Armed Forces (FAP), and the Democratic Revolutionary Council (CDR) in order to survive. This coalition proved to be exceptionally tenuous in the aftermath of GUNT’s defeat.</w:t>
      </w:r>
      <w:r w:rsidR="00FD174F" w:rsidRPr="00F62BA4">
        <w:rPr>
          <w:rFonts w:ascii="Times New Roman" w:hAnsi="Times New Roman" w:cs="Times New Roman"/>
          <w:bCs/>
          <w:sz w:val="24"/>
          <w:szCs w:val="24"/>
        </w:rPr>
        <w:t xml:space="preserve"> To make matters worse, French and American support of Habré’s forces left GUNT in dire straits, eventually precluding the group’s ability to hold territory.</w:t>
      </w:r>
      <w:r w:rsidR="00FD174F" w:rsidRPr="00F62BA4">
        <w:rPr>
          <w:rStyle w:val="FootnoteReference"/>
          <w:rFonts w:ascii="Times New Roman" w:hAnsi="Times New Roman" w:cs="Times New Roman"/>
          <w:bCs/>
          <w:sz w:val="24"/>
          <w:szCs w:val="24"/>
        </w:rPr>
        <w:footnoteReference w:id="95"/>
      </w:r>
      <w:r w:rsidR="00FD174F" w:rsidRPr="00F62BA4">
        <w:rPr>
          <w:rFonts w:ascii="Times New Roman" w:hAnsi="Times New Roman" w:cs="Times New Roman"/>
          <w:bCs/>
          <w:sz w:val="24"/>
          <w:szCs w:val="24"/>
        </w:rPr>
        <w:t xml:space="preserve"> Lastly, GUNT’s failures to govern during its time in government were not remedied when it “governed” in exile—its aim in operating away from the center was to defeat FAN militarily, something which it failed to achieve.</w:t>
      </w:r>
    </w:p>
    <w:p w:rsidR="00BA1033" w:rsidRPr="00F62BA4" w:rsidRDefault="00BA1033" w:rsidP="006D0328">
      <w:pPr>
        <w:rPr>
          <w:rFonts w:ascii="Times New Roman" w:hAnsi="Times New Roman" w:cs="Times New Roman"/>
          <w:b/>
          <w:sz w:val="24"/>
          <w:szCs w:val="24"/>
        </w:rPr>
      </w:pPr>
      <w:r w:rsidRPr="00F62BA4">
        <w:rPr>
          <w:rFonts w:ascii="Times New Roman" w:hAnsi="Times New Roman" w:cs="Times New Roman"/>
          <w:b/>
          <w:sz w:val="24"/>
          <w:szCs w:val="24"/>
        </w:rPr>
        <w:t>Chad (1990-1998)</w:t>
      </w:r>
    </w:p>
    <w:p w:rsidR="00BA1033" w:rsidRPr="00F62BA4" w:rsidRDefault="00BA1033" w:rsidP="006D0328">
      <w:pPr>
        <w:rPr>
          <w:rFonts w:ascii="Times New Roman" w:hAnsi="Times New Roman" w:cs="Times New Roman"/>
          <w:sz w:val="24"/>
          <w:szCs w:val="24"/>
        </w:rPr>
      </w:pPr>
      <w:r w:rsidRPr="00F62BA4">
        <w:rPr>
          <w:rFonts w:ascii="Times New Roman" w:hAnsi="Times New Roman" w:cs="Times New Roman"/>
          <w:sz w:val="24"/>
          <w:szCs w:val="24"/>
        </w:rPr>
        <w:t>Rebels / Incumbents:</w:t>
      </w:r>
      <w:r w:rsidR="0060426D" w:rsidRPr="00F62BA4">
        <w:rPr>
          <w:rFonts w:ascii="Times New Roman" w:hAnsi="Times New Roman" w:cs="Times New Roman"/>
          <w:sz w:val="24"/>
          <w:szCs w:val="24"/>
        </w:rPr>
        <w:t xml:space="preserve"> </w:t>
      </w:r>
      <w:r w:rsidR="00796C6B" w:rsidRPr="00F62BA4">
        <w:rPr>
          <w:rFonts w:ascii="Times New Roman" w:hAnsi="Times New Roman" w:cs="Times New Roman"/>
          <w:sz w:val="24"/>
          <w:szCs w:val="24"/>
        </w:rPr>
        <w:t>Several. Movement for Democracy and Development (anti-Habré: MDD; pro-Habré: MDD-fant), Comité de Sursaut National pour la Paix et la Démocratie (CSNPD)</w:t>
      </w:r>
      <w:r w:rsidR="00B41FB0" w:rsidRPr="00F62BA4">
        <w:rPr>
          <w:rFonts w:ascii="Times New Roman" w:hAnsi="Times New Roman" w:cs="Times New Roman"/>
          <w:sz w:val="24"/>
          <w:szCs w:val="24"/>
        </w:rPr>
        <w:t>,</w:t>
      </w:r>
      <w:r w:rsidR="00796C6B" w:rsidRPr="00F62BA4">
        <w:rPr>
          <w:rFonts w:ascii="Times New Roman" w:hAnsi="Times New Roman" w:cs="Times New Roman"/>
          <w:sz w:val="24"/>
          <w:szCs w:val="24"/>
        </w:rPr>
        <w:t xml:space="preserve"> </w:t>
      </w:r>
      <w:r w:rsidR="00B41FB0" w:rsidRPr="00F62BA4">
        <w:rPr>
          <w:rFonts w:ascii="Times New Roman" w:hAnsi="Times New Roman" w:cs="Times New Roman"/>
          <w:sz w:val="24"/>
          <w:szCs w:val="24"/>
        </w:rPr>
        <w:t>National Liberation Front of Chad (FRONILAT), National Council of Chadian Recovery (CNR), Action Forces for the Republic (FFAR)</w:t>
      </w:r>
      <w:r w:rsidRPr="00F62BA4">
        <w:rPr>
          <w:rFonts w:ascii="Times New Roman" w:hAnsi="Times New Roman" w:cs="Times New Roman"/>
          <w:sz w:val="24"/>
          <w:szCs w:val="24"/>
        </w:rPr>
        <w:t xml:space="preserve"> </w:t>
      </w:r>
      <w:r w:rsidR="0060426D" w:rsidRPr="00F62BA4">
        <w:rPr>
          <w:rFonts w:ascii="Times New Roman" w:hAnsi="Times New Roman" w:cs="Times New Roman"/>
          <w:sz w:val="24"/>
          <w:szCs w:val="24"/>
        </w:rPr>
        <w:t>/ Patriotic Salvation Movement (MPS)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lastRenderedPageBreak/>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60426D" w:rsidRPr="00F62BA4" w:rsidRDefault="0060426D"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second violent chapter depicted herein begins with the deposing of Habré and the ascension of a new president: Idriss Déby. With the aid of his MPS, he was able to quickly establish de jure control of the Chadian state. However, conflict re-emerged as he </w:t>
      </w:r>
      <w:r w:rsidR="005E1428" w:rsidRPr="00F62BA4">
        <w:rPr>
          <w:rFonts w:ascii="Times New Roman" w:hAnsi="Times New Roman" w:cs="Times New Roman"/>
          <w:sz w:val="24"/>
          <w:szCs w:val="24"/>
        </w:rPr>
        <w:t>retained his predecessor’s inability to control the length and breadth of the state. Indeed, Mario Acevedo argues that the degree of stability he was able to secure rested on his decision to not attempt to monopolize deadly force.</w:t>
      </w:r>
      <w:r w:rsidR="005E1428" w:rsidRPr="00F62BA4">
        <w:rPr>
          <w:rStyle w:val="FootnoteReference"/>
          <w:rFonts w:ascii="Times New Roman" w:hAnsi="Times New Roman" w:cs="Times New Roman"/>
          <w:sz w:val="24"/>
          <w:szCs w:val="24"/>
        </w:rPr>
        <w:footnoteReference w:id="96"/>
      </w:r>
    </w:p>
    <w:p w:rsidR="00B41FB0" w:rsidRPr="00F62BA4" w:rsidRDefault="00B41FB0" w:rsidP="006D0328">
      <w:pPr>
        <w:rPr>
          <w:rFonts w:ascii="Times New Roman" w:hAnsi="Times New Roman" w:cs="Times New Roman"/>
          <w:sz w:val="24"/>
          <w:szCs w:val="24"/>
        </w:rPr>
      </w:pPr>
      <w:r w:rsidRPr="00F62BA4">
        <w:rPr>
          <w:rFonts w:ascii="Times New Roman" w:hAnsi="Times New Roman" w:cs="Times New Roman"/>
          <w:sz w:val="24"/>
          <w:szCs w:val="24"/>
        </w:rPr>
        <w:tab/>
        <w:t>Rebel governance in this second chapter was just as desultory as in the first. Many groups claimed—in accordance with their names—democratic purposes, but their predatory behavior betrays their acquisitive agendas.</w:t>
      </w:r>
      <w:r w:rsidRPr="00F62BA4">
        <w:rPr>
          <w:rStyle w:val="FootnoteReference"/>
          <w:rFonts w:ascii="Times New Roman" w:hAnsi="Times New Roman" w:cs="Times New Roman"/>
          <w:sz w:val="24"/>
          <w:szCs w:val="24"/>
        </w:rPr>
        <w:footnoteReference w:id="97"/>
      </w:r>
      <w:r w:rsidRPr="00F62BA4">
        <w:rPr>
          <w:rFonts w:ascii="Times New Roman" w:hAnsi="Times New Roman" w:cs="Times New Roman"/>
          <w:sz w:val="24"/>
          <w:szCs w:val="24"/>
        </w:rPr>
        <w:t xml:space="preserve"> However, such claims were perhaps more useful, if not accurate, in this chapter of the conflict. After all, President Déby, unlike his predecessor, claimed to be a democrat. As such, </w:t>
      </w:r>
      <w:r w:rsidR="00DD5B97" w:rsidRPr="00F62BA4">
        <w:rPr>
          <w:rFonts w:ascii="Times New Roman" w:hAnsi="Times New Roman" w:cs="Times New Roman"/>
          <w:sz w:val="24"/>
          <w:szCs w:val="24"/>
        </w:rPr>
        <w:t>criticism for his failing to provide consolidated democracy</w:t>
      </w:r>
      <w:r w:rsidRPr="00F62BA4">
        <w:rPr>
          <w:rFonts w:ascii="Times New Roman" w:hAnsi="Times New Roman" w:cs="Times New Roman"/>
          <w:sz w:val="24"/>
          <w:szCs w:val="24"/>
        </w:rPr>
        <w:t xml:space="preserve"> is far more persuasive than in the previous case</w:t>
      </w:r>
      <w:r w:rsidR="00DD5B97" w:rsidRPr="00F62BA4">
        <w:rPr>
          <w:rStyle w:val="FootnoteReference"/>
          <w:rFonts w:ascii="Times New Roman" w:hAnsi="Times New Roman" w:cs="Times New Roman"/>
          <w:sz w:val="24"/>
          <w:szCs w:val="24"/>
        </w:rPr>
        <w:footnoteReference w:id="98"/>
      </w:r>
      <w:r w:rsidRPr="00F62BA4">
        <w:rPr>
          <w:rFonts w:ascii="Times New Roman" w:hAnsi="Times New Roman" w:cs="Times New Roman"/>
          <w:sz w:val="24"/>
          <w:szCs w:val="24"/>
        </w:rPr>
        <w:t>; Habré never claimed to be so, even as he noted that such developments could come about in a future interrupted by his ouster.</w:t>
      </w:r>
      <w:r w:rsidR="00A308AB" w:rsidRPr="00F62BA4">
        <w:rPr>
          <w:rStyle w:val="FootnoteReference"/>
          <w:rFonts w:ascii="Times New Roman" w:hAnsi="Times New Roman" w:cs="Times New Roman"/>
          <w:sz w:val="24"/>
          <w:szCs w:val="24"/>
        </w:rPr>
        <w:footnoteReference w:id="99"/>
      </w:r>
      <w:r w:rsidR="00DD5B97" w:rsidRPr="00F62BA4">
        <w:rPr>
          <w:rFonts w:ascii="Times New Roman" w:hAnsi="Times New Roman" w:cs="Times New Roman"/>
          <w:sz w:val="24"/>
          <w:szCs w:val="24"/>
        </w:rPr>
        <w:t xml:space="preserve"> Still, these critiques ring hollow given the inability or unwillingness to provide some sort of parallel legal basis of security,</w:t>
      </w:r>
      <w:r w:rsidR="00DD5B97" w:rsidRPr="00F62BA4">
        <w:rPr>
          <w:rStyle w:val="FootnoteReference"/>
          <w:rFonts w:ascii="Times New Roman" w:hAnsi="Times New Roman" w:cs="Times New Roman"/>
          <w:sz w:val="24"/>
          <w:szCs w:val="24"/>
        </w:rPr>
        <w:footnoteReference w:id="100"/>
      </w:r>
      <w:r w:rsidR="00DD5B97" w:rsidRPr="00F62BA4">
        <w:rPr>
          <w:rFonts w:ascii="Times New Roman" w:hAnsi="Times New Roman" w:cs="Times New Roman"/>
          <w:sz w:val="24"/>
          <w:szCs w:val="24"/>
        </w:rPr>
        <w:t xml:space="preserve"> even as Déby’s forces showed a similar lack of discipline.</w:t>
      </w:r>
      <w:r w:rsidR="00DD5B97" w:rsidRPr="00F62BA4">
        <w:rPr>
          <w:rStyle w:val="FootnoteReference"/>
          <w:rFonts w:ascii="Times New Roman" w:hAnsi="Times New Roman" w:cs="Times New Roman"/>
          <w:sz w:val="24"/>
          <w:szCs w:val="24"/>
        </w:rPr>
        <w:footnoteReference w:id="101"/>
      </w:r>
    </w:p>
    <w:p w:rsidR="005D2A77" w:rsidRPr="00F62BA4" w:rsidRDefault="005D2A77" w:rsidP="006D0328">
      <w:pPr>
        <w:rPr>
          <w:rFonts w:ascii="Times New Roman" w:hAnsi="Times New Roman" w:cs="Times New Roman"/>
          <w:sz w:val="24"/>
          <w:szCs w:val="24"/>
        </w:rPr>
      </w:pPr>
      <w:r w:rsidRPr="00F62BA4">
        <w:rPr>
          <w:rFonts w:ascii="Times New Roman" w:hAnsi="Times New Roman" w:cs="Times New Roman"/>
          <w:sz w:val="24"/>
          <w:szCs w:val="24"/>
        </w:rPr>
        <w:tab/>
        <w:t>This is not to say that Chad was entirely undemocratic. Due in large part to deals that Déby cut with many of the rebel groups, something vaguely resembling democracy was able to emerge in Chad during the mid-1990’s.</w:t>
      </w:r>
      <w:r w:rsidRPr="00F62BA4">
        <w:rPr>
          <w:rStyle w:val="FootnoteReference"/>
          <w:rFonts w:ascii="Times New Roman" w:hAnsi="Times New Roman" w:cs="Times New Roman"/>
          <w:sz w:val="24"/>
          <w:szCs w:val="24"/>
        </w:rPr>
        <w:footnoteReference w:id="102"/>
      </w:r>
      <w:r w:rsidRPr="00F62BA4">
        <w:rPr>
          <w:rFonts w:ascii="Times New Roman" w:hAnsi="Times New Roman" w:cs="Times New Roman"/>
          <w:sz w:val="24"/>
          <w:szCs w:val="24"/>
        </w:rPr>
        <w:t xml:space="preserve"> Even though many of these “elections” are better described as exercises in elite bargaining than in securing public mandate to rule, Déby’s regime was able to survive the conflict by building coalitions with opposition rebel-groups-turned-political-parties. With that said, this represents rebel groups buying into the incumbent’s scheme for governing the state, not rebel governance manifesting itself as parallel to that state.  </w:t>
      </w:r>
    </w:p>
    <w:p w:rsidR="00796249" w:rsidRPr="00F62BA4" w:rsidRDefault="00796249" w:rsidP="006D0328">
      <w:pPr>
        <w:rPr>
          <w:rFonts w:ascii="Times New Roman" w:hAnsi="Times New Roman" w:cs="Times New Roman"/>
          <w:sz w:val="24"/>
          <w:szCs w:val="24"/>
        </w:rPr>
      </w:pPr>
      <w:r w:rsidRPr="00F62BA4">
        <w:rPr>
          <w:rFonts w:ascii="Times New Roman" w:hAnsi="Times New Roman" w:cs="Times New Roman"/>
          <w:sz w:val="24"/>
          <w:szCs w:val="24"/>
        </w:rPr>
        <w:tab/>
        <w:t>Public goods were as hard to come by as other manifestations of governance. Other than a semi-regular means of extracting “taxes,” most of the rebel groups were unsuccessful in this venture.</w:t>
      </w:r>
      <w:r w:rsidRPr="00F62BA4">
        <w:rPr>
          <w:rStyle w:val="FootnoteReference"/>
          <w:rFonts w:ascii="Times New Roman" w:hAnsi="Times New Roman" w:cs="Times New Roman"/>
          <w:sz w:val="24"/>
          <w:szCs w:val="24"/>
        </w:rPr>
        <w:footnoteReference w:id="103"/>
      </w:r>
      <w:r w:rsidR="005E1428" w:rsidRPr="00F62BA4">
        <w:rPr>
          <w:rFonts w:ascii="Times New Roman" w:hAnsi="Times New Roman" w:cs="Times New Roman"/>
          <w:sz w:val="24"/>
          <w:szCs w:val="24"/>
        </w:rPr>
        <w:t xml:space="preserve"> </w:t>
      </w:r>
      <w:r w:rsidR="00B070C6" w:rsidRPr="00F62BA4">
        <w:rPr>
          <w:rFonts w:ascii="Times New Roman" w:hAnsi="Times New Roman" w:cs="Times New Roman"/>
          <w:sz w:val="24"/>
          <w:szCs w:val="24"/>
        </w:rPr>
        <w:t>Although some independent schools were able to operate sporadically, the primary “good” which rebel groups purported to provide was security.</w:t>
      </w:r>
    </w:p>
    <w:p w:rsidR="00C42657" w:rsidRPr="00F62BA4" w:rsidRDefault="00C42657" w:rsidP="006D0328">
      <w:pPr>
        <w:rPr>
          <w:rFonts w:ascii="Times New Roman" w:hAnsi="Times New Roman" w:cs="Times New Roman"/>
          <w:b/>
          <w:sz w:val="24"/>
          <w:szCs w:val="24"/>
        </w:rPr>
      </w:pPr>
      <w:r w:rsidRPr="00F62BA4">
        <w:rPr>
          <w:rFonts w:ascii="Times New Roman" w:hAnsi="Times New Roman" w:cs="Times New Roman"/>
          <w:b/>
          <w:sz w:val="24"/>
          <w:szCs w:val="24"/>
        </w:rPr>
        <w:t>Congo</w:t>
      </w:r>
      <w:r w:rsidR="00F508FB" w:rsidRPr="00F62BA4">
        <w:rPr>
          <w:rFonts w:ascii="Times New Roman" w:hAnsi="Times New Roman" w:cs="Times New Roman"/>
          <w:b/>
          <w:sz w:val="24"/>
          <w:szCs w:val="24"/>
        </w:rPr>
        <w:t xml:space="preserve"> Republic</w:t>
      </w:r>
      <w:r w:rsidRPr="00F62BA4">
        <w:rPr>
          <w:rFonts w:ascii="Times New Roman" w:hAnsi="Times New Roman" w:cs="Times New Roman"/>
          <w:b/>
          <w:sz w:val="24"/>
          <w:szCs w:val="24"/>
        </w:rPr>
        <w:t xml:space="preserve"> (Brazzaville) (1993-1994)</w:t>
      </w:r>
    </w:p>
    <w:p w:rsidR="00C42657" w:rsidRPr="00F62BA4" w:rsidRDefault="00C42657" w:rsidP="00C42657">
      <w:pPr>
        <w:rPr>
          <w:rFonts w:ascii="Times New Roman" w:hAnsi="Times New Roman" w:cs="Times New Roman"/>
          <w:sz w:val="24"/>
          <w:szCs w:val="24"/>
        </w:rPr>
      </w:pPr>
      <w:r w:rsidRPr="00F62BA4">
        <w:rPr>
          <w:rFonts w:ascii="Times New Roman" w:hAnsi="Times New Roman" w:cs="Times New Roman"/>
          <w:sz w:val="24"/>
          <w:szCs w:val="24"/>
        </w:rPr>
        <w:lastRenderedPageBreak/>
        <w:t>Rebels / Incumbents:</w:t>
      </w:r>
      <w:r w:rsidR="00A72E87" w:rsidRPr="00F62BA4">
        <w:rPr>
          <w:rFonts w:ascii="Times New Roman" w:hAnsi="Times New Roman" w:cs="Times New Roman"/>
          <w:sz w:val="24"/>
          <w:szCs w:val="24"/>
        </w:rPr>
        <w:t xml:space="preserve"> </w:t>
      </w:r>
      <w:r w:rsidR="00F508FB" w:rsidRPr="00F62BA4">
        <w:rPr>
          <w:rFonts w:ascii="Times New Roman" w:hAnsi="Times New Roman" w:cs="Times New Roman"/>
          <w:sz w:val="24"/>
          <w:szCs w:val="24"/>
        </w:rPr>
        <w:t xml:space="preserve">Parti Congolais du Travail (PCT), The Mouvement Congolais pour le Developpement et la Democratie Integrale (MCDDI) </w:t>
      </w:r>
      <w:r w:rsidR="00A72E87" w:rsidRPr="00F62BA4">
        <w:rPr>
          <w:rFonts w:ascii="Times New Roman" w:hAnsi="Times New Roman" w:cs="Times New Roman"/>
          <w:sz w:val="24"/>
          <w:szCs w:val="24"/>
        </w:rPr>
        <w:t xml:space="preserve">/ </w:t>
      </w:r>
      <w:r w:rsidR="00F508FB" w:rsidRPr="00F62BA4">
        <w:rPr>
          <w:rFonts w:ascii="Times New Roman" w:hAnsi="Times New Roman" w:cs="Times New Roman"/>
          <w:sz w:val="24"/>
          <w:szCs w:val="24"/>
        </w:rPr>
        <w:t>The Union Panafricaine pour la Democratie Sociale (UPADS)</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F508FB" w:rsidRPr="00F62BA4" w:rsidRDefault="00F508FB" w:rsidP="00C42657">
      <w:pPr>
        <w:rPr>
          <w:rFonts w:ascii="Times New Roman" w:hAnsi="Times New Roman" w:cs="Times New Roman"/>
          <w:sz w:val="24"/>
          <w:szCs w:val="24"/>
        </w:rPr>
      </w:pPr>
      <w:r w:rsidRPr="00F62BA4">
        <w:rPr>
          <w:rFonts w:ascii="Times New Roman" w:hAnsi="Times New Roman" w:cs="Times New Roman"/>
          <w:sz w:val="24"/>
          <w:szCs w:val="24"/>
        </w:rPr>
        <w:tab/>
        <w:t>The first Congolese civil war in the dataset took place over less than a year, during which time three militias clashed over control of the central African state.</w:t>
      </w:r>
      <w:r w:rsidRPr="00F62BA4">
        <w:rPr>
          <w:rStyle w:val="FootnoteReference"/>
          <w:rFonts w:ascii="Times New Roman" w:hAnsi="Times New Roman" w:cs="Times New Roman"/>
          <w:sz w:val="24"/>
          <w:szCs w:val="24"/>
        </w:rPr>
        <w:footnoteReference w:id="104"/>
      </w:r>
      <w:r w:rsidR="005760E1" w:rsidRPr="00F62BA4">
        <w:rPr>
          <w:rFonts w:ascii="Times New Roman" w:hAnsi="Times New Roman" w:cs="Times New Roman"/>
          <w:sz w:val="24"/>
          <w:szCs w:val="24"/>
        </w:rPr>
        <w:t xml:space="preserve"> </w:t>
      </w:r>
      <w:r w:rsidR="00D12BA2" w:rsidRPr="00F62BA4">
        <w:rPr>
          <w:rFonts w:ascii="Times New Roman" w:hAnsi="Times New Roman" w:cs="Times New Roman"/>
          <w:sz w:val="24"/>
          <w:szCs w:val="24"/>
        </w:rPr>
        <w:t xml:space="preserve">The catalyst of this conflict were the results of </w:t>
      </w:r>
      <w:r w:rsidR="00620248" w:rsidRPr="00F62BA4">
        <w:rPr>
          <w:rFonts w:ascii="Times New Roman" w:hAnsi="Times New Roman" w:cs="Times New Roman"/>
          <w:sz w:val="24"/>
          <w:szCs w:val="24"/>
        </w:rPr>
        <w:t>legislative elections which had President Pascal Lissouba’s UPADS party making significant gains.</w:t>
      </w:r>
      <w:r w:rsidR="00D12BA2" w:rsidRPr="00F62BA4">
        <w:rPr>
          <w:rStyle w:val="FootnoteReference"/>
          <w:rFonts w:ascii="Times New Roman" w:hAnsi="Times New Roman" w:cs="Times New Roman"/>
          <w:sz w:val="24"/>
          <w:szCs w:val="24"/>
        </w:rPr>
        <w:footnoteReference w:id="105"/>
      </w:r>
      <w:r w:rsidR="00620248" w:rsidRPr="00F62BA4">
        <w:rPr>
          <w:rFonts w:ascii="Times New Roman" w:hAnsi="Times New Roman" w:cs="Times New Roman"/>
          <w:sz w:val="24"/>
          <w:szCs w:val="24"/>
        </w:rPr>
        <w:t xml:space="preserve"> The PCT and MCDDI </w:t>
      </w:r>
      <w:r w:rsidR="00203B0B" w:rsidRPr="00F62BA4">
        <w:rPr>
          <w:rFonts w:ascii="Times New Roman" w:hAnsi="Times New Roman" w:cs="Times New Roman"/>
          <w:sz w:val="24"/>
          <w:szCs w:val="24"/>
        </w:rPr>
        <w:t xml:space="preserve">opposition parties rejected the results, leading to riots and clashes between each party’s </w:t>
      </w:r>
      <w:r w:rsidR="00DF0E39" w:rsidRPr="00F62BA4">
        <w:rPr>
          <w:rFonts w:ascii="Times New Roman" w:hAnsi="Times New Roman" w:cs="Times New Roman"/>
          <w:sz w:val="24"/>
          <w:szCs w:val="24"/>
        </w:rPr>
        <w:t>militia</w:t>
      </w:r>
      <w:r w:rsidR="00203B0B" w:rsidRPr="00F62BA4">
        <w:rPr>
          <w:rFonts w:ascii="Times New Roman" w:hAnsi="Times New Roman" w:cs="Times New Roman"/>
          <w:sz w:val="24"/>
          <w:szCs w:val="24"/>
        </w:rPr>
        <w:t>.</w:t>
      </w:r>
    </w:p>
    <w:p w:rsidR="006C1387" w:rsidRPr="00F62BA4" w:rsidRDefault="00DF0E39" w:rsidP="00C42657">
      <w:pPr>
        <w:rPr>
          <w:rFonts w:ascii="Times New Roman" w:hAnsi="Times New Roman" w:cs="Times New Roman"/>
          <w:sz w:val="24"/>
          <w:szCs w:val="24"/>
        </w:rPr>
      </w:pPr>
      <w:r w:rsidRPr="00F62BA4">
        <w:rPr>
          <w:rFonts w:ascii="Times New Roman" w:hAnsi="Times New Roman" w:cs="Times New Roman"/>
          <w:sz w:val="24"/>
          <w:szCs w:val="24"/>
        </w:rPr>
        <w:tab/>
        <w:t>The conflict itself was a manifestation of how fragile Congo’s erstwhile democratization was at the time.</w:t>
      </w:r>
      <w:r w:rsidRPr="00F62BA4">
        <w:rPr>
          <w:rStyle w:val="FootnoteReference"/>
          <w:rFonts w:ascii="Times New Roman" w:hAnsi="Times New Roman" w:cs="Times New Roman"/>
          <w:sz w:val="24"/>
          <w:szCs w:val="24"/>
        </w:rPr>
        <w:footnoteReference w:id="106"/>
      </w:r>
      <w:r w:rsidR="0041286B" w:rsidRPr="00F62BA4">
        <w:rPr>
          <w:rFonts w:ascii="Times New Roman" w:hAnsi="Times New Roman" w:cs="Times New Roman"/>
          <w:sz w:val="24"/>
          <w:szCs w:val="24"/>
        </w:rPr>
        <w:t xml:space="preserve"> President Lissouba and his UPADS party had just acceded to power after decades of PCT rule when, in the wake of a crumbling coalition he dissolved parliament. These actions would have rattled the stability of a consolidated state; they started a war in Congo. The war itself was brief, bloody, and surprisingly multilateral. Each militia quickly began operating in the interest of establishing not political dominance, but ethnic dominance. The ethnic cleansing experienced in the conflict was exacerbated by foreign intervention which sought to patronize one of the groups rather than mediate the conflict. </w:t>
      </w:r>
    </w:p>
    <w:p w:rsidR="001B01B0" w:rsidRPr="00F62BA4" w:rsidRDefault="0041286B" w:rsidP="00690412">
      <w:pPr>
        <w:ind w:firstLine="720"/>
        <w:rPr>
          <w:rFonts w:ascii="Times New Roman" w:hAnsi="Times New Roman" w:cs="Times New Roman"/>
          <w:sz w:val="24"/>
          <w:szCs w:val="24"/>
        </w:rPr>
      </w:pPr>
      <w:r w:rsidRPr="00F62BA4">
        <w:rPr>
          <w:rFonts w:ascii="Times New Roman" w:hAnsi="Times New Roman" w:cs="Times New Roman"/>
          <w:sz w:val="24"/>
          <w:szCs w:val="24"/>
        </w:rPr>
        <w:t>Unsurprisingly, there was little in the way of governance developed over the war’s months</w:t>
      </w:r>
      <w:r w:rsidR="00F22A61" w:rsidRPr="00F62BA4">
        <w:rPr>
          <w:rFonts w:ascii="Times New Roman" w:hAnsi="Times New Roman" w:cs="Times New Roman"/>
          <w:sz w:val="24"/>
          <w:szCs w:val="24"/>
        </w:rPr>
        <w:t>.</w:t>
      </w:r>
      <w:r w:rsidR="001B01B0" w:rsidRPr="00F62BA4">
        <w:rPr>
          <w:rStyle w:val="FootnoteReference"/>
          <w:rFonts w:ascii="Times New Roman" w:hAnsi="Times New Roman" w:cs="Times New Roman"/>
          <w:sz w:val="24"/>
          <w:szCs w:val="24"/>
        </w:rPr>
        <w:footnoteReference w:id="107"/>
      </w:r>
      <w:r w:rsidR="00F22A61" w:rsidRPr="00F62BA4">
        <w:rPr>
          <w:rFonts w:ascii="Times New Roman" w:hAnsi="Times New Roman" w:cs="Times New Roman"/>
          <w:sz w:val="24"/>
          <w:szCs w:val="24"/>
        </w:rPr>
        <w:t xml:space="preserve"> Indeed, the politicians at the head of the militias provided scant recompense save for a narrative of grievance. The most notable governance development during the conflict was the chaos the militias caused from a law enforcement perspective</w:t>
      </w:r>
      <w:r w:rsidRPr="00F62BA4">
        <w:rPr>
          <w:rFonts w:ascii="Times New Roman" w:hAnsi="Times New Roman" w:cs="Times New Roman"/>
          <w:sz w:val="24"/>
          <w:szCs w:val="24"/>
        </w:rPr>
        <w:t>.</w:t>
      </w:r>
      <w:r w:rsidR="00F22A61" w:rsidRPr="00F62BA4">
        <w:rPr>
          <w:rStyle w:val="FootnoteReference"/>
          <w:rFonts w:ascii="Times New Roman" w:hAnsi="Times New Roman" w:cs="Times New Roman"/>
          <w:sz w:val="24"/>
          <w:szCs w:val="24"/>
        </w:rPr>
        <w:footnoteReference w:id="108"/>
      </w:r>
      <w:r w:rsidR="006C1387" w:rsidRPr="00F62BA4">
        <w:rPr>
          <w:rFonts w:ascii="Times New Roman" w:hAnsi="Times New Roman" w:cs="Times New Roman"/>
          <w:sz w:val="24"/>
          <w:szCs w:val="24"/>
        </w:rPr>
        <w:t xml:space="preserve"> It is noteworthy, though, that the parties were able to use the extant political structures which remained to negotiate an end to the conflict.</w:t>
      </w:r>
      <w:r w:rsidR="008A40B9" w:rsidRPr="00F62BA4">
        <w:rPr>
          <w:rFonts w:ascii="Times New Roman" w:hAnsi="Times New Roman" w:cs="Times New Roman"/>
          <w:sz w:val="24"/>
          <w:szCs w:val="24"/>
        </w:rPr>
        <w:t xml:space="preserve"> While not necessarily indicative of rebel governance, it is nevertheless impressive that parliamentarians and military officers from different sides of the conflict helped to secure a cease fire, even in the wake of an especially brutal neighborhood bombardment.</w:t>
      </w:r>
      <w:r w:rsidR="008A40B9" w:rsidRPr="00F62BA4">
        <w:rPr>
          <w:rStyle w:val="FootnoteReference"/>
          <w:rFonts w:ascii="Times New Roman" w:hAnsi="Times New Roman" w:cs="Times New Roman"/>
          <w:sz w:val="24"/>
          <w:szCs w:val="24"/>
        </w:rPr>
        <w:footnoteReference w:id="109"/>
      </w:r>
      <w:r w:rsidR="008A40B9" w:rsidRPr="00F62BA4">
        <w:rPr>
          <w:rFonts w:ascii="Times New Roman" w:hAnsi="Times New Roman" w:cs="Times New Roman"/>
          <w:sz w:val="24"/>
          <w:szCs w:val="24"/>
        </w:rPr>
        <w:t xml:space="preserve"> It is also noteworthy that the efforts of Congolese actors succeeded where foreign mediation had failed</w:t>
      </w:r>
      <w:r w:rsidR="006C1387" w:rsidRPr="00F62BA4">
        <w:rPr>
          <w:rFonts w:ascii="Times New Roman" w:hAnsi="Times New Roman" w:cs="Times New Roman"/>
          <w:sz w:val="24"/>
          <w:szCs w:val="24"/>
        </w:rPr>
        <w:t>.</w:t>
      </w:r>
      <w:r w:rsidR="006C1387" w:rsidRPr="00F62BA4">
        <w:rPr>
          <w:rStyle w:val="FootnoteReference"/>
          <w:rFonts w:ascii="Times New Roman" w:hAnsi="Times New Roman" w:cs="Times New Roman"/>
          <w:sz w:val="24"/>
          <w:szCs w:val="24"/>
        </w:rPr>
        <w:footnoteReference w:id="110"/>
      </w:r>
      <w:r w:rsidR="006C1387" w:rsidRPr="00F62BA4">
        <w:rPr>
          <w:rFonts w:ascii="Times New Roman" w:hAnsi="Times New Roman" w:cs="Times New Roman"/>
          <w:sz w:val="24"/>
          <w:szCs w:val="24"/>
        </w:rPr>
        <w:t xml:space="preserve"> </w:t>
      </w:r>
    </w:p>
    <w:p w:rsidR="00C42657" w:rsidRPr="00F62BA4" w:rsidRDefault="00C42657" w:rsidP="00C42657">
      <w:pPr>
        <w:rPr>
          <w:rFonts w:ascii="Times New Roman" w:hAnsi="Times New Roman" w:cs="Times New Roman"/>
          <w:b/>
          <w:sz w:val="24"/>
          <w:szCs w:val="24"/>
        </w:rPr>
      </w:pPr>
      <w:r w:rsidRPr="00F62BA4">
        <w:rPr>
          <w:rFonts w:ascii="Times New Roman" w:hAnsi="Times New Roman" w:cs="Times New Roman"/>
          <w:b/>
          <w:sz w:val="24"/>
          <w:szCs w:val="24"/>
        </w:rPr>
        <w:lastRenderedPageBreak/>
        <w:t>Congo</w:t>
      </w:r>
      <w:r w:rsidR="00F508FB" w:rsidRPr="00F62BA4">
        <w:rPr>
          <w:rFonts w:ascii="Times New Roman" w:hAnsi="Times New Roman" w:cs="Times New Roman"/>
          <w:b/>
          <w:sz w:val="24"/>
          <w:szCs w:val="24"/>
        </w:rPr>
        <w:t xml:space="preserve"> Republic</w:t>
      </w:r>
      <w:r w:rsidRPr="00F62BA4">
        <w:rPr>
          <w:rFonts w:ascii="Times New Roman" w:hAnsi="Times New Roman" w:cs="Times New Roman"/>
          <w:b/>
          <w:sz w:val="24"/>
          <w:szCs w:val="24"/>
        </w:rPr>
        <w:t xml:space="preserve"> (Brazzaville) (1997)</w:t>
      </w:r>
    </w:p>
    <w:p w:rsidR="00C42657" w:rsidRPr="00F62BA4" w:rsidRDefault="00C42657" w:rsidP="00C42657">
      <w:pPr>
        <w:rPr>
          <w:rFonts w:ascii="Times New Roman" w:hAnsi="Times New Roman" w:cs="Times New Roman"/>
          <w:sz w:val="24"/>
          <w:szCs w:val="24"/>
        </w:rPr>
      </w:pPr>
      <w:r w:rsidRPr="00F62BA4">
        <w:rPr>
          <w:rFonts w:ascii="Times New Roman" w:hAnsi="Times New Roman" w:cs="Times New Roman"/>
          <w:sz w:val="24"/>
          <w:szCs w:val="24"/>
        </w:rPr>
        <w:t>Rebels / Incumbents:</w:t>
      </w:r>
      <w:r w:rsidR="005145C6" w:rsidRPr="00F62BA4">
        <w:rPr>
          <w:rFonts w:ascii="Times New Roman" w:hAnsi="Times New Roman" w:cs="Times New Roman"/>
          <w:sz w:val="24"/>
          <w:szCs w:val="24"/>
        </w:rPr>
        <w:t xml:space="preserve"> PCT militias led by Denis Sassou Nguesso / UPADS militias led by Pascal Lissouba</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5145C6" w:rsidRPr="00F62BA4" w:rsidRDefault="005145C6" w:rsidP="00C42657">
      <w:pPr>
        <w:rPr>
          <w:rFonts w:ascii="Times New Roman" w:hAnsi="Times New Roman" w:cs="Times New Roman"/>
          <w:sz w:val="24"/>
          <w:szCs w:val="24"/>
        </w:rPr>
      </w:pPr>
      <w:r w:rsidRPr="00F62BA4">
        <w:rPr>
          <w:rFonts w:ascii="Times New Roman" w:hAnsi="Times New Roman" w:cs="Times New Roman"/>
          <w:sz w:val="24"/>
          <w:szCs w:val="24"/>
        </w:rPr>
        <w:tab/>
        <w:t>Nguesso, who had been president of Congo from 1979 until Lissouba took over in 1992, returned from self-imposed exile in 1997 to declare a return to electoral politics.</w:t>
      </w:r>
      <w:r w:rsidRPr="00F62BA4">
        <w:rPr>
          <w:rStyle w:val="FootnoteReference"/>
          <w:rFonts w:ascii="Times New Roman" w:hAnsi="Times New Roman" w:cs="Times New Roman"/>
          <w:sz w:val="24"/>
          <w:szCs w:val="24"/>
        </w:rPr>
        <w:footnoteReference w:id="111"/>
      </w:r>
      <w:r w:rsidR="004D3707" w:rsidRPr="00F62BA4">
        <w:rPr>
          <w:rFonts w:ascii="Times New Roman" w:hAnsi="Times New Roman" w:cs="Times New Roman"/>
          <w:sz w:val="24"/>
          <w:szCs w:val="24"/>
        </w:rPr>
        <w:t xml:space="preserve"> This also signaled a return to militia warfare, though, and his Cobra militia began fighting in the capital of Brazzaville in May of 1997. Had it not been for the support of Angolan soldiers in October of the same year, Nguesso would have been defeated. As it was, he assumed the presidency again that same month.</w:t>
      </w:r>
    </w:p>
    <w:p w:rsidR="004D3707" w:rsidRPr="00F62BA4" w:rsidRDefault="006C1387" w:rsidP="00C42657">
      <w:pPr>
        <w:rPr>
          <w:rFonts w:ascii="Times New Roman" w:hAnsi="Times New Roman" w:cs="Times New Roman"/>
          <w:sz w:val="24"/>
          <w:szCs w:val="24"/>
        </w:rPr>
      </w:pPr>
      <w:r w:rsidRPr="00F62BA4">
        <w:rPr>
          <w:rFonts w:ascii="Times New Roman" w:hAnsi="Times New Roman" w:cs="Times New Roman"/>
          <w:sz w:val="24"/>
          <w:szCs w:val="24"/>
        </w:rPr>
        <w:tab/>
      </w:r>
      <w:r w:rsidR="00394F99" w:rsidRPr="00F62BA4">
        <w:rPr>
          <w:rFonts w:ascii="Times New Roman" w:hAnsi="Times New Roman" w:cs="Times New Roman"/>
          <w:sz w:val="24"/>
          <w:szCs w:val="24"/>
        </w:rPr>
        <w:t xml:space="preserve">Nguesso’s seizure of the presidency did not come by way of electoral prowess—indeed, he suspended Congo’s democracy upon the military defeat of his adversaries and has yet to </w:t>
      </w:r>
      <w:r w:rsidR="006E2C5D" w:rsidRPr="00F62BA4">
        <w:rPr>
          <w:rFonts w:ascii="Times New Roman" w:hAnsi="Times New Roman" w:cs="Times New Roman"/>
          <w:sz w:val="24"/>
          <w:szCs w:val="24"/>
        </w:rPr>
        <w:t>fully</w:t>
      </w:r>
      <w:r w:rsidR="00394F99" w:rsidRPr="00F62BA4">
        <w:rPr>
          <w:rFonts w:ascii="Times New Roman" w:hAnsi="Times New Roman" w:cs="Times New Roman"/>
          <w:sz w:val="24"/>
          <w:szCs w:val="24"/>
        </w:rPr>
        <w:t xml:space="preserve"> resuscitate it.</w:t>
      </w:r>
      <w:r w:rsidR="00394F99" w:rsidRPr="00F62BA4">
        <w:rPr>
          <w:rStyle w:val="FootnoteReference"/>
          <w:rFonts w:ascii="Times New Roman" w:hAnsi="Times New Roman" w:cs="Times New Roman"/>
          <w:sz w:val="24"/>
          <w:szCs w:val="24"/>
        </w:rPr>
        <w:footnoteReference w:id="112"/>
      </w:r>
      <w:r w:rsidR="00394F99" w:rsidRPr="00F62BA4">
        <w:rPr>
          <w:rFonts w:ascii="Times New Roman" w:hAnsi="Times New Roman" w:cs="Times New Roman"/>
          <w:sz w:val="24"/>
          <w:szCs w:val="24"/>
        </w:rPr>
        <w:t xml:space="preserve"> Nguesso’s political activity during the conflict was secondary to his military activity—although he campaigned briefly, following the arrest of some of his associates in May, he was determined to take Brazzaville by force of arms.</w:t>
      </w:r>
      <w:r w:rsidR="00394F99" w:rsidRPr="00F62BA4">
        <w:rPr>
          <w:rStyle w:val="FootnoteReference"/>
          <w:rFonts w:ascii="Times New Roman" w:hAnsi="Times New Roman" w:cs="Times New Roman"/>
          <w:sz w:val="24"/>
          <w:szCs w:val="24"/>
        </w:rPr>
        <w:footnoteReference w:id="113"/>
      </w:r>
      <w:r w:rsidR="00394F99" w:rsidRPr="00F62BA4">
        <w:rPr>
          <w:rFonts w:ascii="Times New Roman" w:hAnsi="Times New Roman" w:cs="Times New Roman"/>
          <w:sz w:val="24"/>
          <w:szCs w:val="24"/>
        </w:rPr>
        <w:t xml:space="preserve"> In the absence of successful mediation, his campaign was successful. Although he resuscitated his flagging PCT party, the only developments on his part were military—Nguesso was only a ruler once he was no longer a rebel.</w:t>
      </w:r>
    </w:p>
    <w:p w:rsidR="00F22A61" w:rsidRPr="00F62BA4" w:rsidRDefault="00F22A61" w:rsidP="00C42657">
      <w:pPr>
        <w:rPr>
          <w:rFonts w:ascii="Times New Roman" w:hAnsi="Times New Roman" w:cs="Times New Roman"/>
          <w:sz w:val="24"/>
          <w:szCs w:val="24"/>
        </w:rPr>
      </w:pPr>
      <w:r w:rsidRPr="00F62BA4">
        <w:rPr>
          <w:rFonts w:ascii="Times New Roman" w:hAnsi="Times New Roman" w:cs="Times New Roman"/>
          <w:sz w:val="24"/>
          <w:szCs w:val="24"/>
        </w:rPr>
        <w:tab/>
        <w:t>Interestingly, Nguesso’s Cobras used a form of control even more punitive than the previous conflict had seen. In the war’s first manifestation, ethnic cleansing was enforced by the use of roadblocks, with militia fighters checking identification papers to ensure that the “wrong” ethnicities did not have access to the neighborhoods they controlled. The Cobras used the roadblocks to identify and victimize anyone who they perceived as benefiting from the democratic system.</w:t>
      </w:r>
      <w:r w:rsidRPr="00F62BA4">
        <w:rPr>
          <w:rStyle w:val="FootnoteReference"/>
          <w:rFonts w:ascii="Times New Roman" w:hAnsi="Times New Roman" w:cs="Times New Roman"/>
          <w:sz w:val="24"/>
          <w:szCs w:val="24"/>
        </w:rPr>
        <w:footnoteReference w:id="114"/>
      </w:r>
    </w:p>
    <w:p w:rsidR="006B399A" w:rsidRPr="00F62BA4" w:rsidRDefault="006B399A" w:rsidP="00C42657">
      <w:pPr>
        <w:rPr>
          <w:rFonts w:ascii="Times New Roman" w:hAnsi="Times New Roman" w:cs="Times New Roman"/>
          <w:sz w:val="24"/>
          <w:szCs w:val="24"/>
        </w:rPr>
      </w:pPr>
      <w:r w:rsidRPr="00F62BA4">
        <w:rPr>
          <w:rFonts w:ascii="Times New Roman" w:hAnsi="Times New Roman" w:cs="Times New Roman"/>
          <w:sz w:val="24"/>
          <w:szCs w:val="24"/>
        </w:rPr>
        <w:tab/>
        <w:t>Traditional sources of order were not terribly effective either.</w:t>
      </w:r>
      <w:r w:rsidRPr="00F62BA4">
        <w:rPr>
          <w:rStyle w:val="FootnoteReference"/>
          <w:rFonts w:ascii="Times New Roman" w:hAnsi="Times New Roman" w:cs="Times New Roman"/>
          <w:sz w:val="24"/>
          <w:szCs w:val="24"/>
        </w:rPr>
        <w:footnoteReference w:id="115"/>
      </w:r>
      <w:r w:rsidRPr="00F62BA4">
        <w:rPr>
          <w:rFonts w:ascii="Times New Roman" w:hAnsi="Times New Roman" w:cs="Times New Roman"/>
          <w:sz w:val="24"/>
          <w:szCs w:val="24"/>
        </w:rPr>
        <w:t xml:space="preserve"> In the wake of the conflict’s first chapter, militia fighters in need of a paycheck were recruited into the army and police forces. That these organs contributed to the banditry and general chaos of the conflict is not a surprise given this fact.</w:t>
      </w:r>
    </w:p>
    <w:p w:rsidR="00C42657" w:rsidRPr="00F62BA4" w:rsidRDefault="00C42657" w:rsidP="00C42657">
      <w:pPr>
        <w:rPr>
          <w:rFonts w:ascii="Times New Roman" w:hAnsi="Times New Roman" w:cs="Times New Roman"/>
          <w:b/>
          <w:sz w:val="24"/>
          <w:szCs w:val="24"/>
        </w:rPr>
      </w:pPr>
      <w:r w:rsidRPr="00F62BA4">
        <w:rPr>
          <w:rFonts w:ascii="Times New Roman" w:hAnsi="Times New Roman" w:cs="Times New Roman"/>
          <w:b/>
          <w:sz w:val="24"/>
          <w:szCs w:val="24"/>
        </w:rPr>
        <w:t>Congo</w:t>
      </w:r>
      <w:r w:rsidR="00F508FB" w:rsidRPr="00F62BA4">
        <w:rPr>
          <w:rFonts w:ascii="Times New Roman" w:hAnsi="Times New Roman" w:cs="Times New Roman"/>
          <w:b/>
          <w:sz w:val="24"/>
          <w:szCs w:val="24"/>
        </w:rPr>
        <w:t xml:space="preserve"> Republic</w:t>
      </w:r>
      <w:r w:rsidRPr="00F62BA4">
        <w:rPr>
          <w:rFonts w:ascii="Times New Roman" w:hAnsi="Times New Roman" w:cs="Times New Roman"/>
          <w:b/>
          <w:sz w:val="24"/>
          <w:szCs w:val="24"/>
        </w:rPr>
        <w:t xml:space="preserve"> (Brazzaville) (1998-1999)</w:t>
      </w:r>
    </w:p>
    <w:p w:rsidR="00C42657" w:rsidRPr="00F62BA4" w:rsidRDefault="00C42657" w:rsidP="00C42657">
      <w:pPr>
        <w:rPr>
          <w:rFonts w:ascii="Times New Roman" w:hAnsi="Times New Roman" w:cs="Times New Roman"/>
          <w:sz w:val="24"/>
          <w:szCs w:val="24"/>
        </w:rPr>
      </w:pPr>
      <w:r w:rsidRPr="00F62BA4">
        <w:rPr>
          <w:rFonts w:ascii="Times New Roman" w:hAnsi="Times New Roman" w:cs="Times New Roman"/>
          <w:sz w:val="24"/>
          <w:szCs w:val="24"/>
        </w:rPr>
        <w:t>Rebels / Incumbents:</w:t>
      </w:r>
      <w:r w:rsidR="00A81AC9" w:rsidRPr="00F62BA4">
        <w:rPr>
          <w:rFonts w:ascii="Times New Roman" w:hAnsi="Times New Roman" w:cs="Times New Roman"/>
          <w:sz w:val="24"/>
          <w:szCs w:val="24"/>
        </w:rPr>
        <w:t xml:space="preserve"> Southern militias (Ninjas, Cocoyes</w:t>
      </w:r>
      <w:r w:rsidR="00745C2E" w:rsidRPr="00F62BA4">
        <w:rPr>
          <w:rFonts w:ascii="Times New Roman" w:hAnsi="Times New Roman" w:cs="Times New Roman"/>
          <w:sz w:val="24"/>
          <w:szCs w:val="24"/>
        </w:rPr>
        <w:t>, Nstiloulous</w:t>
      </w:r>
      <w:r w:rsidR="00A81AC9" w:rsidRPr="00F62BA4">
        <w:rPr>
          <w:rFonts w:ascii="Times New Roman" w:hAnsi="Times New Roman" w:cs="Times New Roman"/>
          <w:sz w:val="24"/>
          <w:szCs w:val="24"/>
        </w:rPr>
        <w:t>) / Congo (Nguesso)</w:t>
      </w:r>
      <w:r w:rsidR="00CD0F2F" w:rsidRPr="00F62BA4">
        <w:rPr>
          <w:rFonts w:ascii="Times New Roman" w:hAnsi="Times New Roman" w:cs="Times New Roman"/>
          <w:sz w:val="24"/>
          <w:szCs w:val="24"/>
        </w:rPr>
        <w:t>, Cobra militia</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lastRenderedPageBreak/>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A81AC9" w:rsidRPr="00F62BA4" w:rsidRDefault="00A81AC9" w:rsidP="00C42657">
      <w:pPr>
        <w:rPr>
          <w:rFonts w:ascii="Times New Roman" w:hAnsi="Times New Roman" w:cs="Times New Roman"/>
          <w:sz w:val="24"/>
          <w:szCs w:val="24"/>
        </w:rPr>
      </w:pPr>
      <w:r w:rsidRPr="00F62BA4">
        <w:rPr>
          <w:rFonts w:ascii="Times New Roman" w:hAnsi="Times New Roman" w:cs="Times New Roman"/>
          <w:sz w:val="24"/>
          <w:szCs w:val="24"/>
        </w:rPr>
        <w:tab/>
        <w:t>The post-ascension peace was short-lived in Congo, as conflict renewed away from the capital less than a year after Nguesso took power.</w:t>
      </w:r>
      <w:r w:rsidRPr="00F62BA4">
        <w:rPr>
          <w:rStyle w:val="FootnoteReference"/>
          <w:rFonts w:ascii="Times New Roman" w:hAnsi="Times New Roman" w:cs="Times New Roman"/>
          <w:sz w:val="24"/>
          <w:szCs w:val="24"/>
        </w:rPr>
        <w:footnoteReference w:id="116"/>
      </w:r>
      <w:r w:rsidRPr="00F62BA4">
        <w:rPr>
          <w:rFonts w:ascii="Times New Roman" w:hAnsi="Times New Roman" w:cs="Times New Roman"/>
          <w:sz w:val="24"/>
          <w:szCs w:val="24"/>
        </w:rPr>
        <w:t xml:space="preserve"> Even with the aid of Angolan troops, the fighting eventually reached Brazzaville. Ultimately, Nguesso was forced to negotiate with the rebels, offering amnesty to all rebel commanders save Lissouba and Kolelas (who were political rivals from Congo’s brief democratic era).</w:t>
      </w:r>
    </w:p>
    <w:p w:rsidR="009B6CC6" w:rsidRPr="00F62BA4" w:rsidRDefault="006E2C5D" w:rsidP="00C42657">
      <w:pPr>
        <w:rPr>
          <w:rFonts w:ascii="Times New Roman" w:hAnsi="Times New Roman" w:cs="Times New Roman"/>
          <w:sz w:val="24"/>
          <w:szCs w:val="24"/>
        </w:rPr>
      </w:pPr>
      <w:r w:rsidRPr="00F62BA4">
        <w:rPr>
          <w:rFonts w:ascii="Times New Roman" w:hAnsi="Times New Roman" w:cs="Times New Roman"/>
          <w:sz w:val="24"/>
          <w:szCs w:val="24"/>
        </w:rPr>
        <w:tab/>
        <w:t>This conflict, in spite of taking place largely outside of the capital, was even more brutal than its direct predecessor.</w:t>
      </w:r>
      <w:r w:rsidRPr="00F62BA4">
        <w:rPr>
          <w:rStyle w:val="FootnoteReference"/>
          <w:rFonts w:ascii="Times New Roman" w:hAnsi="Times New Roman" w:cs="Times New Roman"/>
          <w:sz w:val="24"/>
          <w:szCs w:val="24"/>
        </w:rPr>
        <w:footnoteReference w:id="117"/>
      </w:r>
      <w:r w:rsidR="00CD0F2F" w:rsidRPr="00F62BA4">
        <w:rPr>
          <w:rFonts w:ascii="Times New Roman" w:hAnsi="Times New Roman" w:cs="Times New Roman"/>
          <w:sz w:val="24"/>
          <w:szCs w:val="24"/>
        </w:rPr>
        <w:t xml:space="preserve"> One reason for the extraordinary brutality was the support from Congo-Brazzaville’s oil extraction sector.</w:t>
      </w:r>
      <w:r w:rsidR="00CD0F2F" w:rsidRPr="00F62BA4">
        <w:rPr>
          <w:rStyle w:val="FootnoteReference"/>
          <w:rFonts w:ascii="Times New Roman" w:hAnsi="Times New Roman" w:cs="Times New Roman"/>
          <w:sz w:val="24"/>
          <w:szCs w:val="24"/>
        </w:rPr>
        <w:footnoteReference w:id="118"/>
      </w:r>
      <w:r w:rsidR="00CD0F2F" w:rsidRPr="00F62BA4">
        <w:rPr>
          <w:rFonts w:ascii="Times New Roman" w:hAnsi="Times New Roman" w:cs="Times New Roman"/>
          <w:sz w:val="24"/>
          <w:szCs w:val="24"/>
        </w:rPr>
        <w:t xml:space="preserve"> Nguesso retained his European contacts from his lengthy pre-democratic rule, meaning his leadership had lucrative implications for Elf Congo (an exploration and extraction firm). Fittingly, it was economic factors which ended the war. As the economy for many Congolese never recovered from the first conflict, the promise of employment was sufficient to coax militias to stop fighting (for the moment)</w:t>
      </w:r>
      <w:r w:rsidR="009B6CC6" w:rsidRPr="00F62BA4">
        <w:rPr>
          <w:rFonts w:ascii="Times New Roman" w:hAnsi="Times New Roman" w:cs="Times New Roman"/>
          <w:sz w:val="24"/>
          <w:szCs w:val="24"/>
        </w:rPr>
        <w:t>.</w:t>
      </w:r>
      <w:r w:rsidR="009B6CC6" w:rsidRPr="00F62BA4">
        <w:rPr>
          <w:rStyle w:val="FootnoteReference"/>
          <w:rFonts w:ascii="Times New Roman" w:hAnsi="Times New Roman" w:cs="Times New Roman"/>
          <w:sz w:val="24"/>
          <w:szCs w:val="24"/>
        </w:rPr>
        <w:footnoteReference w:id="119"/>
      </w:r>
      <w:r w:rsidR="00CD0F2F" w:rsidRPr="00F62BA4">
        <w:rPr>
          <w:rFonts w:ascii="Times New Roman" w:hAnsi="Times New Roman" w:cs="Times New Roman"/>
          <w:sz w:val="24"/>
          <w:szCs w:val="24"/>
        </w:rPr>
        <w:t xml:space="preserve"> </w:t>
      </w:r>
    </w:p>
    <w:p w:rsidR="00C42657" w:rsidRPr="00F62BA4" w:rsidRDefault="00C42657" w:rsidP="00C42657">
      <w:pPr>
        <w:rPr>
          <w:rFonts w:ascii="Times New Roman" w:hAnsi="Times New Roman" w:cs="Times New Roman"/>
          <w:b/>
          <w:sz w:val="24"/>
          <w:szCs w:val="24"/>
        </w:rPr>
      </w:pPr>
      <w:r w:rsidRPr="00F62BA4">
        <w:rPr>
          <w:rFonts w:ascii="Times New Roman" w:hAnsi="Times New Roman" w:cs="Times New Roman"/>
          <w:b/>
          <w:sz w:val="24"/>
          <w:szCs w:val="24"/>
        </w:rPr>
        <w:t>Congo</w:t>
      </w:r>
      <w:r w:rsidR="00F508FB" w:rsidRPr="00F62BA4">
        <w:rPr>
          <w:rFonts w:ascii="Times New Roman" w:hAnsi="Times New Roman" w:cs="Times New Roman"/>
          <w:b/>
          <w:sz w:val="24"/>
          <w:szCs w:val="24"/>
        </w:rPr>
        <w:t xml:space="preserve"> Republic</w:t>
      </w:r>
      <w:r w:rsidRPr="00F62BA4">
        <w:rPr>
          <w:rFonts w:ascii="Times New Roman" w:hAnsi="Times New Roman" w:cs="Times New Roman"/>
          <w:b/>
          <w:sz w:val="24"/>
          <w:szCs w:val="24"/>
        </w:rPr>
        <w:t xml:space="preserve"> (Brazzaville) (2002-2003)</w:t>
      </w:r>
    </w:p>
    <w:p w:rsidR="00C42657" w:rsidRPr="00F62BA4" w:rsidRDefault="00C42657" w:rsidP="00C42657">
      <w:pPr>
        <w:rPr>
          <w:rFonts w:ascii="Times New Roman" w:hAnsi="Times New Roman" w:cs="Times New Roman"/>
          <w:sz w:val="24"/>
          <w:szCs w:val="24"/>
        </w:rPr>
      </w:pPr>
      <w:r w:rsidRPr="00F62BA4">
        <w:rPr>
          <w:rFonts w:ascii="Times New Roman" w:hAnsi="Times New Roman" w:cs="Times New Roman"/>
          <w:sz w:val="24"/>
          <w:szCs w:val="24"/>
        </w:rPr>
        <w:t>Rebels / Incumbents:</w:t>
      </w:r>
      <w:r w:rsidR="00745C2E" w:rsidRPr="00F62BA4">
        <w:rPr>
          <w:rFonts w:ascii="Times New Roman" w:hAnsi="Times New Roman" w:cs="Times New Roman"/>
          <w:sz w:val="24"/>
          <w:szCs w:val="24"/>
        </w:rPr>
        <w:t xml:space="preserve"> Southern militias (Nstiloulous, Ninjas)</w:t>
      </w:r>
      <w:r w:rsidR="00621E7E" w:rsidRPr="00F62BA4">
        <w:rPr>
          <w:rFonts w:ascii="Times New Roman" w:hAnsi="Times New Roman" w:cs="Times New Roman"/>
          <w:sz w:val="24"/>
          <w:szCs w:val="24"/>
        </w:rPr>
        <w:t xml:space="preserve"> / Congo</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616CCC" w:rsidRDefault="00745C2E" w:rsidP="00C42657">
      <w:pPr>
        <w:rPr>
          <w:rFonts w:ascii="Times New Roman" w:hAnsi="Times New Roman" w:cs="Times New Roman"/>
          <w:sz w:val="24"/>
          <w:szCs w:val="24"/>
        </w:rPr>
      </w:pPr>
      <w:r w:rsidRPr="00F62BA4">
        <w:rPr>
          <w:rFonts w:ascii="Times New Roman" w:hAnsi="Times New Roman" w:cs="Times New Roman"/>
          <w:sz w:val="24"/>
          <w:szCs w:val="24"/>
        </w:rPr>
        <w:tab/>
        <w:t>In spite of 1999’s agreement, the conflict had one final chapter.</w:t>
      </w:r>
      <w:r w:rsidR="004E1076" w:rsidRPr="00F62BA4">
        <w:rPr>
          <w:rFonts w:ascii="Times New Roman" w:hAnsi="Times New Roman" w:cs="Times New Roman"/>
          <w:sz w:val="24"/>
          <w:szCs w:val="24"/>
        </w:rPr>
        <w:t xml:space="preserve"> All told, though, this one is not terribly noteworthy. In spite of its temporal proximity to the 2002 elections, Patrice Yengo remarks</w:t>
      </w:r>
      <w:r w:rsidR="00BA1033" w:rsidRPr="00F62BA4">
        <w:rPr>
          <w:rFonts w:ascii="Times New Roman" w:hAnsi="Times New Roman" w:cs="Times New Roman"/>
          <w:sz w:val="24"/>
          <w:szCs w:val="24"/>
        </w:rPr>
        <w:t xml:space="preserve"> with palpable weariness that the conflict itself brought with it new versions of the elements found in previous conflicts</w:t>
      </w:r>
      <w:r w:rsidR="004E1076" w:rsidRPr="00F62BA4">
        <w:rPr>
          <w:rFonts w:ascii="Times New Roman" w:hAnsi="Times New Roman" w:cs="Times New Roman"/>
          <w:sz w:val="24"/>
          <w:szCs w:val="24"/>
        </w:rPr>
        <w:t>: “new military campaign, new peace agreement signed 17 March 2003, new violations.”</w:t>
      </w:r>
      <w:r w:rsidR="004E1076" w:rsidRPr="00F62BA4">
        <w:rPr>
          <w:rStyle w:val="FootnoteReference"/>
          <w:rFonts w:ascii="Times New Roman" w:hAnsi="Times New Roman" w:cs="Times New Roman"/>
          <w:sz w:val="24"/>
          <w:szCs w:val="24"/>
        </w:rPr>
        <w:footnoteReference w:id="120"/>
      </w:r>
      <w:r w:rsidR="00431C93" w:rsidRPr="00F62BA4">
        <w:rPr>
          <w:rFonts w:ascii="Times New Roman" w:hAnsi="Times New Roman" w:cs="Times New Roman"/>
          <w:sz w:val="24"/>
          <w:szCs w:val="24"/>
        </w:rPr>
        <w:t xml:space="preserve"> The conflict’s lack of noteworthiness extends to the degree of violence—there is reason to believe that it does not cross the fatality threshold.</w:t>
      </w:r>
      <w:r w:rsidR="00431C93" w:rsidRPr="00F62BA4">
        <w:rPr>
          <w:rStyle w:val="FootnoteReference"/>
          <w:rFonts w:ascii="Times New Roman" w:hAnsi="Times New Roman" w:cs="Times New Roman"/>
          <w:sz w:val="24"/>
          <w:szCs w:val="24"/>
        </w:rPr>
        <w:footnoteReference w:id="121"/>
      </w:r>
      <w:r w:rsidR="00FA176D" w:rsidRPr="00F62BA4">
        <w:rPr>
          <w:rFonts w:ascii="Times New Roman" w:hAnsi="Times New Roman" w:cs="Times New Roman"/>
          <w:sz w:val="24"/>
          <w:szCs w:val="24"/>
        </w:rPr>
        <w:t xml:space="preserve"> </w:t>
      </w:r>
    </w:p>
    <w:p w:rsidR="00745C2E" w:rsidRPr="00F62BA4" w:rsidRDefault="00FA176D" w:rsidP="00616CCC">
      <w:pPr>
        <w:ind w:firstLine="720"/>
        <w:rPr>
          <w:rFonts w:ascii="Times New Roman" w:hAnsi="Times New Roman" w:cs="Times New Roman"/>
          <w:sz w:val="24"/>
          <w:szCs w:val="24"/>
        </w:rPr>
      </w:pPr>
      <w:r w:rsidRPr="00F62BA4">
        <w:rPr>
          <w:rFonts w:ascii="Times New Roman" w:hAnsi="Times New Roman" w:cs="Times New Roman"/>
          <w:sz w:val="24"/>
          <w:szCs w:val="24"/>
        </w:rPr>
        <w:t xml:space="preserve">There is not even evidence that the militias actually held territory in this brief chapter of the conflict. However, it is worth noting that the peace agreement hints at Congo’s fragility—the insurgency in the Pool Department continued for years afterward in spite of the peace </w:t>
      </w:r>
      <w:r w:rsidRPr="00F62BA4">
        <w:rPr>
          <w:rFonts w:ascii="Times New Roman" w:hAnsi="Times New Roman" w:cs="Times New Roman"/>
          <w:sz w:val="24"/>
          <w:szCs w:val="24"/>
        </w:rPr>
        <w:lastRenderedPageBreak/>
        <w:t>agreement.</w:t>
      </w:r>
      <w:r w:rsidRPr="00F62BA4">
        <w:rPr>
          <w:rStyle w:val="FootnoteReference"/>
          <w:rFonts w:ascii="Times New Roman" w:hAnsi="Times New Roman" w:cs="Times New Roman"/>
          <w:sz w:val="24"/>
          <w:szCs w:val="24"/>
        </w:rPr>
        <w:footnoteReference w:id="122"/>
      </w:r>
      <w:r w:rsidR="00616CCC">
        <w:rPr>
          <w:rFonts w:ascii="Times New Roman" w:hAnsi="Times New Roman" w:cs="Times New Roman"/>
          <w:sz w:val="24"/>
          <w:szCs w:val="24"/>
        </w:rPr>
        <w:t xml:space="preserve"> The rebels did not appear to have been able to hold territory at any time during the conflict, though.</w:t>
      </w:r>
    </w:p>
    <w:p w:rsidR="00D819E7" w:rsidRPr="00F62BA4" w:rsidRDefault="007072FD" w:rsidP="006D0328">
      <w:pPr>
        <w:rPr>
          <w:rFonts w:ascii="Times New Roman" w:hAnsi="Times New Roman" w:cs="Times New Roman"/>
          <w:b/>
          <w:sz w:val="24"/>
          <w:szCs w:val="24"/>
        </w:rPr>
      </w:pPr>
      <w:r w:rsidRPr="00F62BA4">
        <w:rPr>
          <w:rFonts w:ascii="Times New Roman" w:hAnsi="Times New Roman" w:cs="Times New Roman"/>
          <w:b/>
          <w:sz w:val="24"/>
          <w:szCs w:val="24"/>
        </w:rPr>
        <w:t>Croatia (1991-1992)</w:t>
      </w:r>
    </w:p>
    <w:p w:rsidR="007072FD" w:rsidRPr="00F62BA4" w:rsidRDefault="007072FD" w:rsidP="006D032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663C6F" w:rsidRPr="00F62BA4">
        <w:rPr>
          <w:rFonts w:ascii="Times New Roman" w:hAnsi="Times New Roman" w:cs="Times New Roman"/>
          <w:sz w:val="24"/>
          <w:szCs w:val="24"/>
        </w:rPr>
        <w:t>Republic of Serbian Krajina (RSK) / Croatia</w:t>
      </w:r>
    </w:p>
    <w:p w:rsidR="007072FD" w:rsidRPr="00F62BA4" w:rsidRDefault="005B1032" w:rsidP="007072FD">
      <w:pPr>
        <w:rPr>
          <w:rFonts w:ascii="Times New Roman" w:hAnsi="Times New Roman" w:cs="Times New Roman"/>
          <w:b/>
          <w:sz w:val="24"/>
          <w:szCs w:val="24"/>
        </w:rPr>
      </w:pPr>
      <w:r>
        <w:rPr>
          <w:rFonts w:ascii="Times New Roman" w:hAnsi="Times New Roman" w:cs="Times New Roman"/>
          <w:b/>
          <w:sz w:val="24"/>
          <w:szCs w:val="24"/>
        </w:rPr>
        <w:t>Policing/juridical</w:t>
      </w:r>
      <w:r w:rsidR="007072FD" w:rsidRPr="00F62BA4">
        <w:rPr>
          <w:rFonts w:ascii="Times New Roman" w:hAnsi="Times New Roman" w:cs="Times New Roman"/>
          <w:b/>
          <w:sz w:val="24"/>
          <w:szCs w:val="24"/>
        </w:rPr>
        <w:t xml:space="preserve">: </w:t>
      </w:r>
      <w:r w:rsidR="00FC4122" w:rsidRPr="00F62BA4">
        <w:rPr>
          <w:rFonts w:ascii="Times New Roman" w:hAnsi="Times New Roman" w:cs="Times New Roman"/>
          <w:b/>
          <w:sz w:val="24"/>
          <w:szCs w:val="24"/>
        </w:rPr>
        <w:t>0</w:t>
      </w:r>
      <w:r w:rsidR="007072FD" w:rsidRPr="00F62BA4">
        <w:rPr>
          <w:rFonts w:ascii="Times New Roman" w:hAnsi="Times New Roman" w:cs="Times New Roman"/>
          <w:b/>
          <w:sz w:val="24"/>
          <w:szCs w:val="24"/>
        </w:rPr>
        <w:t xml:space="preserve">; Public Goods: </w:t>
      </w:r>
      <w:r w:rsidR="00FC4122" w:rsidRPr="00F62BA4">
        <w:rPr>
          <w:rFonts w:ascii="Times New Roman" w:hAnsi="Times New Roman" w:cs="Times New Roman"/>
          <w:b/>
          <w:sz w:val="24"/>
          <w:szCs w:val="24"/>
        </w:rPr>
        <w:t>0</w:t>
      </w:r>
      <w:r w:rsidR="007072FD"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7072FD" w:rsidRPr="00F62BA4">
        <w:rPr>
          <w:rFonts w:ascii="Times New Roman" w:hAnsi="Times New Roman" w:cs="Times New Roman"/>
          <w:b/>
          <w:sz w:val="24"/>
          <w:szCs w:val="24"/>
        </w:rPr>
        <w:t xml:space="preserve">: </w:t>
      </w:r>
      <w:r w:rsidR="00FC4122" w:rsidRPr="00F62BA4">
        <w:rPr>
          <w:rFonts w:ascii="Times New Roman" w:hAnsi="Times New Roman" w:cs="Times New Roman"/>
          <w:b/>
          <w:sz w:val="24"/>
          <w:szCs w:val="24"/>
        </w:rPr>
        <w:t>1</w:t>
      </w:r>
    </w:p>
    <w:p w:rsidR="007072FD" w:rsidRPr="00F62BA4" w:rsidRDefault="00663C6F" w:rsidP="006D0328">
      <w:pPr>
        <w:rPr>
          <w:rFonts w:ascii="Times New Roman" w:hAnsi="Times New Roman" w:cs="Times New Roman"/>
          <w:sz w:val="24"/>
          <w:szCs w:val="24"/>
        </w:rPr>
      </w:pPr>
      <w:r w:rsidRPr="00F62BA4">
        <w:rPr>
          <w:rFonts w:ascii="Times New Roman" w:hAnsi="Times New Roman" w:cs="Times New Roman"/>
          <w:b/>
          <w:sz w:val="24"/>
          <w:szCs w:val="24"/>
        </w:rPr>
        <w:tab/>
      </w:r>
      <w:r w:rsidRPr="00F62BA4">
        <w:rPr>
          <w:rFonts w:ascii="Times New Roman" w:hAnsi="Times New Roman" w:cs="Times New Roman"/>
          <w:sz w:val="24"/>
          <w:szCs w:val="24"/>
        </w:rPr>
        <w:t>After asserting its independence as Yugoslavia began to implode, Croatia faced the possibility that it may face secession within its own territory just as it seceded. Shortly after making its presence known by way of declaration, the RSK did so by attempting to eliminate or drive out Croats and Croatian administration.</w:t>
      </w:r>
      <w:r w:rsidRPr="00F62BA4">
        <w:rPr>
          <w:rStyle w:val="FootnoteReference"/>
          <w:rFonts w:ascii="Times New Roman" w:hAnsi="Times New Roman" w:cs="Times New Roman"/>
          <w:sz w:val="24"/>
          <w:szCs w:val="24"/>
        </w:rPr>
        <w:footnoteReference w:id="123"/>
      </w:r>
      <w:r w:rsidRPr="00F62BA4">
        <w:rPr>
          <w:rFonts w:ascii="Times New Roman" w:hAnsi="Times New Roman" w:cs="Times New Roman"/>
          <w:sz w:val="24"/>
          <w:szCs w:val="24"/>
        </w:rPr>
        <w:t xml:space="preserve"> Thus, in addition to threats to Bosnian Croats, Croatia had to deal with internal conflict as well.</w:t>
      </w:r>
    </w:p>
    <w:p w:rsidR="00663C6F" w:rsidRPr="00F62BA4" w:rsidRDefault="00663C6F" w:rsidP="006D0328">
      <w:pPr>
        <w:rPr>
          <w:rFonts w:ascii="Times New Roman" w:hAnsi="Times New Roman" w:cs="Times New Roman"/>
          <w:sz w:val="24"/>
          <w:szCs w:val="24"/>
        </w:rPr>
      </w:pPr>
      <w:r w:rsidRPr="00F62BA4">
        <w:rPr>
          <w:rFonts w:ascii="Times New Roman" w:hAnsi="Times New Roman" w:cs="Times New Roman"/>
          <w:sz w:val="24"/>
          <w:szCs w:val="24"/>
        </w:rPr>
        <w:tab/>
        <w:t>The RSK was not especially well-equipped to provide services in its controlled territory.</w:t>
      </w:r>
      <w:r w:rsidRPr="00F62BA4">
        <w:rPr>
          <w:rStyle w:val="FootnoteReference"/>
          <w:rFonts w:ascii="Times New Roman" w:hAnsi="Times New Roman" w:cs="Times New Roman"/>
          <w:sz w:val="24"/>
          <w:szCs w:val="24"/>
        </w:rPr>
        <w:footnoteReference w:id="124"/>
      </w:r>
      <w:r w:rsidRPr="00F62BA4">
        <w:rPr>
          <w:rFonts w:ascii="Times New Roman" w:hAnsi="Times New Roman" w:cs="Times New Roman"/>
          <w:sz w:val="24"/>
          <w:szCs w:val="24"/>
        </w:rPr>
        <w:t xml:space="preserve"> One reason for this was its emphasis on eliminating any vestige of Croatian-ness from its territory. This included the native Croats as well as any vestige of the fledgling Croatian state. Thus, not only was the capacity of the would</w:t>
      </w:r>
      <w:r w:rsidR="000164AB" w:rsidRPr="00F62BA4">
        <w:rPr>
          <w:rFonts w:ascii="Times New Roman" w:hAnsi="Times New Roman" w:cs="Times New Roman"/>
          <w:sz w:val="24"/>
          <w:szCs w:val="24"/>
        </w:rPr>
        <w:t>-</w:t>
      </w:r>
      <w:r w:rsidRPr="00F62BA4">
        <w:rPr>
          <w:rFonts w:ascii="Times New Roman" w:hAnsi="Times New Roman" w:cs="Times New Roman"/>
          <w:sz w:val="24"/>
          <w:szCs w:val="24"/>
        </w:rPr>
        <w:t>be state hamstrung, but its resources (especially its “police force”) were dedicated to projects not related to governance.</w:t>
      </w:r>
    </w:p>
    <w:p w:rsidR="00663C6F" w:rsidRPr="00F62BA4" w:rsidRDefault="00663C6F" w:rsidP="006D0328">
      <w:pPr>
        <w:rPr>
          <w:rFonts w:ascii="Times New Roman" w:hAnsi="Times New Roman" w:cs="Times New Roman"/>
          <w:sz w:val="24"/>
          <w:szCs w:val="24"/>
        </w:rPr>
      </w:pPr>
      <w:r w:rsidRPr="00F62BA4">
        <w:rPr>
          <w:rFonts w:ascii="Times New Roman" w:hAnsi="Times New Roman" w:cs="Times New Roman"/>
          <w:sz w:val="24"/>
          <w:szCs w:val="24"/>
        </w:rPr>
        <w:tab/>
        <w:t>The RSK took pains to appear representative, arranging an independence referendum shortly before the civil war began.</w:t>
      </w:r>
      <w:r w:rsidRPr="00F62BA4">
        <w:rPr>
          <w:rStyle w:val="FootnoteReference"/>
          <w:rFonts w:ascii="Times New Roman" w:hAnsi="Times New Roman" w:cs="Times New Roman"/>
          <w:sz w:val="24"/>
          <w:szCs w:val="24"/>
        </w:rPr>
        <w:footnoteReference w:id="125"/>
      </w:r>
      <w:r w:rsidRPr="00F62BA4">
        <w:rPr>
          <w:rFonts w:ascii="Times New Roman" w:hAnsi="Times New Roman" w:cs="Times New Roman"/>
          <w:sz w:val="24"/>
          <w:szCs w:val="24"/>
        </w:rPr>
        <w:t xml:space="preserve"> In addition to this, the would-be state held elections over the course of its brief existence.</w:t>
      </w:r>
      <w:r w:rsidR="00DC6946" w:rsidRPr="00F62BA4">
        <w:rPr>
          <w:rStyle w:val="FootnoteReference"/>
          <w:rFonts w:ascii="Times New Roman" w:hAnsi="Times New Roman" w:cs="Times New Roman"/>
          <w:sz w:val="24"/>
          <w:szCs w:val="24"/>
        </w:rPr>
        <w:footnoteReference w:id="126"/>
      </w:r>
      <w:r w:rsidRPr="00F62BA4">
        <w:rPr>
          <w:rFonts w:ascii="Times New Roman" w:hAnsi="Times New Roman" w:cs="Times New Roman"/>
          <w:sz w:val="24"/>
          <w:szCs w:val="24"/>
        </w:rPr>
        <w:t xml:space="preserve"> As such, there was evidence of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in the form of a representational apparatus emerging. However, this was one which institutionally barred non-Serbs from participation</w:t>
      </w:r>
      <w:r w:rsidR="00FC4122" w:rsidRPr="00F62BA4">
        <w:rPr>
          <w:rFonts w:ascii="Times New Roman" w:hAnsi="Times New Roman" w:cs="Times New Roman"/>
          <w:sz w:val="24"/>
          <w:szCs w:val="24"/>
        </w:rPr>
        <w:t>.</w:t>
      </w:r>
      <w:r w:rsidR="007D3057" w:rsidRPr="00F62BA4">
        <w:rPr>
          <w:rFonts w:ascii="Times New Roman" w:hAnsi="Times New Roman" w:cs="Times New Roman"/>
          <w:sz w:val="24"/>
          <w:szCs w:val="24"/>
        </w:rPr>
        <w:t xml:space="preserve"> Moreover, Serbian leadership (especially Slobodan Milosevic) was deeply involved in RSK’s process of selecting leadership,</w:t>
      </w:r>
      <w:r w:rsidR="007D3057" w:rsidRPr="00F62BA4">
        <w:rPr>
          <w:rStyle w:val="FootnoteReference"/>
          <w:rFonts w:ascii="Times New Roman" w:hAnsi="Times New Roman" w:cs="Times New Roman"/>
          <w:sz w:val="24"/>
          <w:szCs w:val="24"/>
        </w:rPr>
        <w:footnoteReference w:id="127"/>
      </w:r>
      <w:r w:rsidR="007D3057" w:rsidRPr="00F62BA4">
        <w:rPr>
          <w:rFonts w:ascii="Times New Roman" w:hAnsi="Times New Roman" w:cs="Times New Roman"/>
          <w:sz w:val="24"/>
          <w:szCs w:val="24"/>
        </w:rPr>
        <w:t xml:space="preserve"> so the </w:t>
      </w:r>
      <w:r w:rsidR="005B1032">
        <w:rPr>
          <w:rFonts w:ascii="Times New Roman" w:hAnsi="Times New Roman" w:cs="Times New Roman"/>
          <w:sz w:val="24"/>
          <w:szCs w:val="24"/>
        </w:rPr>
        <w:t>consultative instruments</w:t>
      </w:r>
      <w:r w:rsidR="007D3057" w:rsidRPr="00F62BA4">
        <w:rPr>
          <w:rFonts w:ascii="Times New Roman" w:hAnsi="Times New Roman" w:cs="Times New Roman"/>
          <w:sz w:val="24"/>
          <w:szCs w:val="24"/>
        </w:rPr>
        <w:t xml:space="preserve"> were not reflective of the will of RSK’s population, even if one only counts the Serbian population among that number.</w:t>
      </w:r>
    </w:p>
    <w:p w:rsidR="007072FD" w:rsidRPr="00F62BA4" w:rsidRDefault="007072FD" w:rsidP="006D0328">
      <w:pPr>
        <w:rPr>
          <w:rFonts w:ascii="Times New Roman" w:hAnsi="Times New Roman" w:cs="Times New Roman"/>
          <w:b/>
          <w:sz w:val="24"/>
          <w:szCs w:val="24"/>
        </w:rPr>
      </w:pPr>
      <w:r w:rsidRPr="00F62BA4">
        <w:rPr>
          <w:rFonts w:ascii="Times New Roman" w:hAnsi="Times New Roman" w:cs="Times New Roman"/>
          <w:b/>
          <w:sz w:val="24"/>
          <w:szCs w:val="24"/>
        </w:rPr>
        <w:t>Croatia (1995)</w:t>
      </w:r>
    </w:p>
    <w:p w:rsidR="007072FD" w:rsidRPr="00F62BA4" w:rsidRDefault="007072FD" w:rsidP="006D0328">
      <w:pPr>
        <w:rPr>
          <w:rFonts w:ascii="Times New Roman" w:hAnsi="Times New Roman" w:cs="Times New Roman"/>
          <w:sz w:val="24"/>
          <w:szCs w:val="24"/>
        </w:rPr>
      </w:pPr>
      <w:r w:rsidRPr="00F62BA4">
        <w:rPr>
          <w:rFonts w:ascii="Times New Roman" w:hAnsi="Times New Roman" w:cs="Times New Roman"/>
          <w:sz w:val="24"/>
          <w:szCs w:val="24"/>
        </w:rPr>
        <w:t>Rebels / Incumbents: Republic of Serbian Krajina</w:t>
      </w:r>
      <w:r w:rsidR="001104D5" w:rsidRPr="00F62BA4">
        <w:rPr>
          <w:rFonts w:ascii="Times New Roman" w:hAnsi="Times New Roman" w:cs="Times New Roman"/>
          <w:sz w:val="24"/>
          <w:szCs w:val="24"/>
        </w:rPr>
        <w:t xml:space="preserve"> (RSK)</w:t>
      </w:r>
      <w:r w:rsidRPr="00F62BA4">
        <w:rPr>
          <w:rFonts w:ascii="Times New Roman" w:hAnsi="Times New Roman" w:cs="Times New Roman"/>
          <w:sz w:val="24"/>
          <w:szCs w:val="24"/>
        </w:rPr>
        <w:t xml:space="preserve"> / Croatia</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1</w:t>
      </w:r>
    </w:p>
    <w:p w:rsidR="00B75459" w:rsidRPr="00F62BA4" w:rsidRDefault="00B75459" w:rsidP="006D0328">
      <w:pPr>
        <w:rPr>
          <w:rFonts w:ascii="Times New Roman" w:hAnsi="Times New Roman" w:cs="Times New Roman"/>
          <w:sz w:val="24"/>
          <w:szCs w:val="24"/>
        </w:rPr>
      </w:pPr>
      <w:r w:rsidRPr="00F62BA4">
        <w:rPr>
          <w:rFonts w:ascii="Times New Roman" w:hAnsi="Times New Roman" w:cs="Times New Roman"/>
          <w:sz w:val="24"/>
          <w:szCs w:val="24"/>
        </w:rPr>
        <w:tab/>
        <w:t>Croatia, having established its de facto independence in the wake of Yugoslavia’s disintegration, set out to consolidate its declared territory by conquering the Republic of Serbian Krajina’s territory in Eastern Slavonia.</w:t>
      </w:r>
      <w:r w:rsidRPr="00F62BA4">
        <w:rPr>
          <w:rStyle w:val="FootnoteReference"/>
          <w:rFonts w:ascii="Times New Roman" w:hAnsi="Times New Roman" w:cs="Times New Roman"/>
          <w:sz w:val="24"/>
          <w:szCs w:val="24"/>
        </w:rPr>
        <w:footnoteReference w:id="128"/>
      </w:r>
      <w:r w:rsidRPr="00F62BA4">
        <w:rPr>
          <w:rFonts w:ascii="Times New Roman" w:hAnsi="Times New Roman" w:cs="Times New Roman"/>
          <w:sz w:val="24"/>
          <w:szCs w:val="24"/>
        </w:rPr>
        <w:t xml:space="preserve"> While the August offensives (Operations Flash and Storm) recaptured much of this territory within the month’s first week, the conflict was not </w:t>
      </w:r>
      <w:r w:rsidRPr="00F62BA4">
        <w:rPr>
          <w:rFonts w:ascii="Times New Roman" w:hAnsi="Times New Roman" w:cs="Times New Roman"/>
          <w:sz w:val="24"/>
          <w:szCs w:val="24"/>
        </w:rPr>
        <w:lastRenderedPageBreak/>
        <w:t>formally ended until the year’s end. With December 1995’s signing of the Basic Agreement, an orderly transition to de jure control over Eastern Slavonia to match the de facto control enjoyed by Croatia was given the force of law.</w:t>
      </w:r>
      <w:r w:rsidRPr="00F62BA4">
        <w:rPr>
          <w:rStyle w:val="FootnoteReference"/>
          <w:rFonts w:ascii="Times New Roman" w:hAnsi="Times New Roman" w:cs="Times New Roman"/>
          <w:sz w:val="24"/>
          <w:szCs w:val="24"/>
        </w:rPr>
        <w:footnoteReference w:id="129"/>
      </w:r>
    </w:p>
    <w:p w:rsidR="00B75459" w:rsidRPr="00F62BA4" w:rsidRDefault="00B75459" w:rsidP="006D0328">
      <w:pPr>
        <w:rPr>
          <w:rFonts w:ascii="Times New Roman" w:hAnsi="Times New Roman" w:cs="Times New Roman"/>
          <w:sz w:val="24"/>
          <w:szCs w:val="24"/>
        </w:rPr>
      </w:pPr>
      <w:r w:rsidRPr="00F62BA4">
        <w:rPr>
          <w:rFonts w:ascii="Times New Roman" w:hAnsi="Times New Roman" w:cs="Times New Roman"/>
          <w:sz w:val="24"/>
          <w:szCs w:val="24"/>
        </w:rPr>
        <w:tab/>
      </w:r>
      <w:r w:rsidR="001104D5" w:rsidRPr="00F62BA4">
        <w:rPr>
          <w:rFonts w:ascii="Times New Roman" w:hAnsi="Times New Roman" w:cs="Times New Roman"/>
          <w:sz w:val="24"/>
          <w:szCs w:val="24"/>
        </w:rPr>
        <w:t xml:space="preserve">The RSK was intended to be a semi-autonomous satellite of Serbia, but it did provide some measure of </w:t>
      </w:r>
      <w:r w:rsidR="005B1032">
        <w:rPr>
          <w:rFonts w:ascii="Times New Roman" w:hAnsi="Times New Roman" w:cs="Times New Roman"/>
          <w:sz w:val="24"/>
          <w:szCs w:val="24"/>
        </w:rPr>
        <w:t>consultative instruments</w:t>
      </w:r>
      <w:r w:rsidR="001104D5" w:rsidRPr="00F62BA4">
        <w:rPr>
          <w:rFonts w:ascii="Times New Roman" w:hAnsi="Times New Roman" w:cs="Times New Roman"/>
          <w:sz w:val="24"/>
          <w:szCs w:val="24"/>
        </w:rPr>
        <w:t xml:space="preserve"> for its ethnically defined population.</w:t>
      </w:r>
      <w:r w:rsidR="001104D5" w:rsidRPr="00F62BA4">
        <w:rPr>
          <w:rStyle w:val="FootnoteReference"/>
          <w:rFonts w:ascii="Times New Roman" w:hAnsi="Times New Roman" w:cs="Times New Roman"/>
          <w:sz w:val="24"/>
          <w:szCs w:val="24"/>
        </w:rPr>
        <w:footnoteReference w:id="130"/>
      </w:r>
      <w:r w:rsidR="001104D5" w:rsidRPr="00F62BA4">
        <w:rPr>
          <w:rFonts w:ascii="Times New Roman" w:hAnsi="Times New Roman" w:cs="Times New Roman"/>
          <w:sz w:val="24"/>
          <w:szCs w:val="24"/>
        </w:rPr>
        <w:t xml:space="preserve"> Indeed, the RSK held elections a month before the conflict began, which led to the ascendance of a new Prime Minister.</w:t>
      </w:r>
      <w:r w:rsidR="001104D5" w:rsidRPr="00F62BA4">
        <w:rPr>
          <w:rStyle w:val="FootnoteReference"/>
          <w:rFonts w:ascii="Times New Roman" w:hAnsi="Times New Roman" w:cs="Times New Roman"/>
          <w:sz w:val="24"/>
          <w:szCs w:val="24"/>
        </w:rPr>
        <w:footnoteReference w:id="131"/>
      </w:r>
      <w:r w:rsidR="001104D5" w:rsidRPr="00F62BA4">
        <w:rPr>
          <w:rFonts w:ascii="Times New Roman" w:hAnsi="Times New Roman" w:cs="Times New Roman"/>
          <w:sz w:val="24"/>
          <w:szCs w:val="24"/>
        </w:rPr>
        <w:t xml:space="preserve"> The impact of this development is somewhat limited, though—by the end of August, most of RSK’s political leadership had fled abroad in the wake of losing its territory.</w:t>
      </w:r>
      <w:r w:rsidR="007D3057" w:rsidRPr="00F62BA4">
        <w:rPr>
          <w:rFonts w:ascii="Times New Roman" w:hAnsi="Times New Roman" w:cs="Times New Roman"/>
          <w:sz w:val="24"/>
          <w:szCs w:val="24"/>
        </w:rPr>
        <w:t xml:space="preserve"> It was further hamstrung by the fact that Belgrade was deeply involved in the selection of RSK’s leadership.</w:t>
      </w:r>
      <w:r w:rsidR="007D3057" w:rsidRPr="00F62BA4">
        <w:rPr>
          <w:rStyle w:val="FootnoteReference"/>
          <w:rFonts w:ascii="Times New Roman" w:hAnsi="Times New Roman" w:cs="Times New Roman"/>
          <w:sz w:val="24"/>
          <w:szCs w:val="24"/>
        </w:rPr>
        <w:footnoteReference w:id="132"/>
      </w:r>
    </w:p>
    <w:p w:rsidR="00127F3B" w:rsidRPr="00F62BA4" w:rsidRDefault="00127F3B"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Other manifestations of governance are wanting here, though. The police force was, for all intents and purposes, a paramilitary organization designed to </w:t>
      </w:r>
      <w:r w:rsidR="00673EFD" w:rsidRPr="00F62BA4">
        <w:rPr>
          <w:rFonts w:ascii="Times New Roman" w:hAnsi="Times New Roman" w:cs="Times New Roman"/>
          <w:sz w:val="24"/>
          <w:szCs w:val="24"/>
        </w:rPr>
        <w:t>achieve the fledgling would-be state’s goals of ethnic cleansing and to enrich itself by way of criminal enterprise.</w:t>
      </w:r>
      <w:r w:rsidR="00673EFD" w:rsidRPr="00F62BA4">
        <w:rPr>
          <w:rStyle w:val="FootnoteReference"/>
          <w:rFonts w:ascii="Times New Roman" w:hAnsi="Times New Roman" w:cs="Times New Roman"/>
          <w:sz w:val="24"/>
          <w:szCs w:val="24"/>
        </w:rPr>
        <w:footnoteReference w:id="133"/>
      </w:r>
      <w:r w:rsidR="00673EFD" w:rsidRPr="00F62BA4">
        <w:rPr>
          <w:rFonts w:ascii="Times New Roman" w:hAnsi="Times New Roman" w:cs="Times New Roman"/>
          <w:sz w:val="24"/>
          <w:szCs w:val="24"/>
        </w:rPr>
        <w:t xml:space="preserve"> </w:t>
      </w:r>
      <w:r w:rsidR="001C4738" w:rsidRPr="00F62BA4">
        <w:rPr>
          <w:rFonts w:ascii="Times New Roman" w:hAnsi="Times New Roman" w:cs="Times New Roman"/>
          <w:sz w:val="24"/>
          <w:szCs w:val="24"/>
        </w:rPr>
        <w:t xml:space="preserve">In spite of </w:t>
      </w:r>
      <w:r w:rsidR="00466925" w:rsidRPr="00F62BA4">
        <w:rPr>
          <w:rFonts w:ascii="Times New Roman" w:hAnsi="Times New Roman" w:cs="Times New Roman"/>
          <w:sz w:val="24"/>
          <w:szCs w:val="24"/>
        </w:rPr>
        <w:t>controlling substantial territory within the country, the RSK appears to have actively disrupted the function of public good provision.</w:t>
      </w:r>
      <w:r w:rsidR="00466925" w:rsidRPr="00F62BA4">
        <w:rPr>
          <w:rStyle w:val="FootnoteReference"/>
          <w:rFonts w:ascii="Times New Roman" w:hAnsi="Times New Roman" w:cs="Times New Roman"/>
          <w:sz w:val="24"/>
          <w:szCs w:val="24"/>
        </w:rPr>
        <w:footnoteReference w:id="134"/>
      </w:r>
    </w:p>
    <w:p w:rsidR="006D0328"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t>D</w:t>
      </w:r>
      <w:r w:rsidR="004D11D2" w:rsidRPr="00F62BA4">
        <w:rPr>
          <w:rFonts w:ascii="Times New Roman" w:hAnsi="Times New Roman" w:cs="Times New Roman"/>
          <w:b/>
          <w:sz w:val="24"/>
          <w:szCs w:val="24"/>
        </w:rPr>
        <w:t xml:space="preserve">emocratic </w:t>
      </w:r>
      <w:r w:rsidRPr="00F62BA4">
        <w:rPr>
          <w:rFonts w:ascii="Times New Roman" w:hAnsi="Times New Roman" w:cs="Times New Roman"/>
          <w:b/>
          <w:sz w:val="24"/>
          <w:szCs w:val="24"/>
        </w:rPr>
        <w:t>R</w:t>
      </w:r>
      <w:r w:rsidR="004D11D2" w:rsidRPr="00F62BA4">
        <w:rPr>
          <w:rFonts w:ascii="Times New Roman" w:hAnsi="Times New Roman" w:cs="Times New Roman"/>
          <w:b/>
          <w:sz w:val="24"/>
          <w:szCs w:val="24"/>
        </w:rPr>
        <w:t xml:space="preserve">epublic of </w:t>
      </w:r>
      <w:r w:rsidRPr="00F62BA4">
        <w:rPr>
          <w:rFonts w:ascii="Times New Roman" w:hAnsi="Times New Roman" w:cs="Times New Roman"/>
          <w:b/>
          <w:sz w:val="24"/>
          <w:szCs w:val="24"/>
        </w:rPr>
        <w:t>C</w:t>
      </w:r>
      <w:r w:rsidR="004D11D2" w:rsidRPr="00F62BA4">
        <w:rPr>
          <w:rFonts w:ascii="Times New Roman" w:hAnsi="Times New Roman" w:cs="Times New Roman"/>
          <w:b/>
          <w:sz w:val="24"/>
          <w:szCs w:val="24"/>
        </w:rPr>
        <w:t>ongo</w:t>
      </w:r>
      <w:r w:rsidR="00F508FB" w:rsidRPr="00F62BA4">
        <w:rPr>
          <w:rFonts w:ascii="Times New Roman" w:hAnsi="Times New Roman" w:cs="Times New Roman"/>
          <w:b/>
          <w:sz w:val="24"/>
          <w:szCs w:val="24"/>
        </w:rPr>
        <w:t xml:space="preserve"> (Zaire)</w:t>
      </w:r>
      <w:r w:rsidR="004D11D2" w:rsidRPr="00F62BA4">
        <w:rPr>
          <w:rFonts w:ascii="Times New Roman" w:hAnsi="Times New Roman" w:cs="Times New Roman"/>
          <w:b/>
          <w:sz w:val="24"/>
          <w:szCs w:val="24"/>
        </w:rPr>
        <w:t xml:space="preserve"> (1996-1997)</w:t>
      </w:r>
    </w:p>
    <w:p w:rsidR="003F767B" w:rsidRPr="00F62BA4" w:rsidRDefault="003F767B" w:rsidP="004D11D2">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Incumbents</w:t>
      </w:r>
      <w:r w:rsidRPr="00F62BA4">
        <w:rPr>
          <w:rFonts w:ascii="Times New Roman" w:hAnsi="Times New Roman" w:cs="Times New Roman"/>
          <w:sz w:val="24"/>
          <w:szCs w:val="24"/>
        </w:rPr>
        <w:t xml:space="preserve">: </w:t>
      </w:r>
      <w:r w:rsidR="00EB6840" w:rsidRPr="00F62BA4">
        <w:rPr>
          <w:rFonts w:ascii="Times New Roman" w:hAnsi="Times New Roman" w:cs="Times New Roman"/>
          <w:sz w:val="24"/>
          <w:szCs w:val="24"/>
        </w:rPr>
        <w:t>Alliance of Democratic Forces for the Liberation of Congo</w:t>
      </w:r>
      <w:r w:rsidR="001655AB" w:rsidRPr="00F62BA4">
        <w:rPr>
          <w:rFonts w:ascii="Times New Roman" w:hAnsi="Times New Roman" w:cs="Times New Roman"/>
          <w:sz w:val="24"/>
          <w:szCs w:val="24"/>
        </w:rPr>
        <w:t xml:space="preserve"> (A</w:t>
      </w:r>
      <w:r w:rsidR="005337F5" w:rsidRPr="00F62BA4">
        <w:rPr>
          <w:rFonts w:ascii="Times New Roman" w:hAnsi="Times New Roman" w:cs="Times New Roman"/>
          <w:sz w:val="24"/>
          <w:szCs w:val="24"/>
        </w:rPr>
        <w:t>FD</w:t>
      </w:r>
      <w:r w:rsidR="001655AB" w:rsidRPr="00F62BA4">
        <w:rPr>
          <w:rFonts w:ascii="Times New Roman" w:hAnsi="Times New Roman" w:cs="Times New Roman"/>
          <w:sz w:val="24"/>
          <w:szCs w:val="24"/>
        </w:rPr>
        <w:t>L)</w:t>
      </w:r>
      <w:r w:rsidR="00EB6840" w:rsidRPr="00F62BA4">
        <w:rPr>
          <w:rFonts w:ascii="Times New Roman" w:hAnsi="Times New Roman" w:cs="Times New Roman"/>
          <w:sz w:val="24"/>
          <w:szCs w:val="24"/>
        </w:rPr>
        <w:t xml:space="preserve"> / </w:t>
      </w:r>
      <w:r w:rsidR="005337F5" w:rsidRPr="00F62BA4">
        <w:rPr>
          <w:rFonts w:ascii="Times New Roman" w:hAnsi="Times New Roman" w:cs="Times New Roman"/>
          <w:sz w:val="24"/>
          <w:szCs w:val="24"/>
        </w:rPr>
        <w:t>Mobutist</w:t>
      </w:r>
      <w:r w:rsidR="00EB6840" w:rsidRPr="00F62BA4">
        <w:rPr>
          <w:rFonts w:ascii="Times New Roman" w:hAnsi="Times New Roman" w:cs="Times New Roman"/>
          <w:sz w:val="24"/>
          <w:szCs w:val="24"/>
        </w:rPr>
        <w:t xml:space="preserve"> Zaire</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5337F5" w:rsidRPr="00F62BA4" w:rsidRDefault="005337F5" w:rsidP="004D11D2">
      <w:pPr>
        <w:rPr>
          <w:rFonts w:ascii="Times New Roman" w:hAnsi="Times New Roman" w:cs="Times New Roman"/>
          <w:sz w:val="24"/>
          <w:szCs w:val="24"/>
        </w:rPr>
      </w:pPr>
      <w:r w:rsidRPr="00F62BA4">
        <w:rPr>
          <w:rFonts w:ascii="Times New Roman" w:hAnsi="Times New Roman" w:cs="Times New Roman"/>
          <w:sz w:val="24"/>
          <w:szCs w:val="24"/>
        </w:rPr>
        <w:tab/>
        <w:t>The first war in the DRC was one in which disparate elements aligned against Mobutu Sese Seko’s regime sought to replace the authoritarian regime.</w:t>
      </w:r>
      <w:r w:rsidRPr="00F62BA4">
        <w:rPr>
          <w:rStyle w:val="FootnoteReference"/>
          <w:rFonts w:ascii="Times New Roman" w:hAnsi="Times New Roman" w:cs="Times New Roman"/>
          <w:sz w:val="24"/>
          <w:szCs w:val="24"/>
        </w:rPr>
        <w:footnoteReference w:id="135"/>
      </w:r>
      <w:r w:rsidRPr="00F62BA4">
        <w:rPr>
          <w:rFonts w:ascii="Times New Roman" w:hAnsi="Times New Roman" w:cs="Times New Roman"/>
          <w:sz w:val="24"/>
          <w:szCs w:val="24"/>
        </w:rPr>
        <w:t xml:space="preserve"> With substantial aid from foreign patrons (especially Rwanda), Mobutu’s Zaire was toppled and Laurent Kabila was installed as his replacement. In </w:t>
      </w:r>
      <w:r w:rsidR="007232BD" w:rsidRPr="00F62BA4">
        <w:rPr>
          <w:rFonts w:ascii="Times New Roman" w:hAnsi="Times New Roman" w:cs="Times New Roman"/>
          <w:sz w:val="24"/>
          <w:szCs w:val="24"/>
        </w:rPr>
        <w:t>part because</w:t>
      </w:r>
      <w:r w:rsidRPr="00F62BA4">
        <w:rPr>
          <w:rFonts w:ascii="Times New Roman" w:hAnsi="Times New Roman" w:cs="Times New Roman"/>
          <w:sz w:val="24"/>
          <w:szCs w:val="24"/>
        </w:rPr>
        <w:t xml:space="preserve"> of the war’s brevity, the AFDL had been</w:t>
      </w:r>
      <w:r w:rsidR="000F0256" w:rsidRPr="00F62BA4">
        <w:rPr>
          <w:rFonts w:ascii="Times New Roman" w:hAnsi="Times New Roman" w:cs="Times New Roman"/>
          <w:sz w:val="24"/>
          <w:szCs w:val="24"/>
        </w:rPr>
        <w:t xml:space="preserve"> marginally</w:t>
      </w:r>
      <w:r w:rsidR="007232BD" w:rsidRPr="00F62BA4">
        <w:rPr>
          <w:rFonts w:ascii="Times New Roman" w:hAnsi="Times New Roman" w:cs="Times New Roman"/>
          <w:sz w:val="24"/>
          <w:szCs w:val="24"/>
        </w:rPr>
        <w:t xml:space="preserve"> (at best)</w:t>
      </w:r>
      <w:r w:rsidRPr="00F62BA4">
        <w:rPr>
          <w:rFonts w:ascii="Times New Roman" w:hAnsi="Times New Roman" w:cs="Times New Roman"/>
          <w:sz w:val="24"/>
          <w:szCs w:val="24"/>
        </w:rPr>
        <w:t xml:space="preserve"> successful in establishing some modicum of governance during the conflict.</w:t>
      </w:r>
    </w:p>
    <w:p w:rsidR="000F0256" w:rsidRPr="00F62BA4" w:rsidRDefault="000F0256" w:rsidP="004D11D2">
      <w:pPr>
        <w:rPr>
          <w:rFonts w:ascii="Times New Roman" w:hAnsi="Times New Roman" w:cs="Times New Roman"/>
          <w:sz w:val="24"/>
          <w:szCs w:val="24"/>
        </w:rPr>
      </w:pPr>
      <w:r w:rsidRPr="00F62BA4">
        <w:rPr>
          <w:rFonts w:ascii="Times New Roman" w:hAnsi="Times New Roman" w:cs="Times New Roman"/>
          <w:sz w:val="24"/>
          <w:szCs w:val="24"/>
        </w:rPr>
        <w:tab/>
        <w:t>To some extent, AFDL governance was a victim of their good fortune—their victory was too rapid to allow for carefully planned governance structures.</w:t>
      </w:r>
      <w:r w:rsidRPr="00F62BA4">
        <w:rPr>
          <w:rStyle w:val="FootnoteReference"/>
          <w:rFonts w:ascii="Times New Roman" w:hAnsi="Times New Roman" w:cs="Times New Roman"/>
          <w:sz w:val="24"/>
          <w:szCs w:val="24"/>
        </w:rPr>
        <w:footnoteReference w:id="136"/>
      </w:r>
      <w:r w:rsidR="003805AF" w:rsidRPr="00F62BA4">
        <w:rPr>
          <w:rFonts w:ascii="Times New Roman" w:hAnsi="Times New Roman" w:cs="Times New Roman"/>
          <w:sz w:val="24"/>
          <w:szCs w:val="24"/>
        </w:rPr>
        <w:t xml:space="preserve"> It is perhaps unsurprising then, that the AFDL’s program of political education was extremely hastily produced, churning out </w:t>
      </w:r>
      <w:r w:rsidR="003805AF" w:rsidRPr="00F62BA4">
        <w:rPr>
          <w:rFonts w:ascii="Times New Roman" w:hAnsi="Times New Roman" w:cs="Times New Roman"/>
          <w:sz w:val="24"/>
          <w:szCs w:val="24"/>
        </w:rPr>
        <w:lastRenderedPageBreak/>
        <w:t>ideologically literate supporters as fast as they can.</w:t>
      </w:r>
      <w:r w:rsidR="003805AF" w:rsidRPr="00F62BA4">
        <w:rPr>
          <w:rStyle w:val="FootnoteReference"/>
          <w:rFonts w:ascii="Times New Roman" w:hAnsi="Times New Roman" w:cs="Times New Roman"/>
          <w:sz w:val="24"/>
          <w:szCs w:val="24"/>
        </w:rPr>
        <w:footnoteReference w:id="137"/>
      </w:r>
      <w:r w:rsidR="007D3BCA" w:rsidRPr="00F62BA4">
        <w:rPr>
          <w:rFonts w:ascii="Times New Roman" w:hAnsi="Times New Roman" w:cs="Times New Roman"/>
          <w:sz w:val="24"/>
          <w:szCs w:val="24"/>
        </w:rPr>
        <w:t xml:space="preserve"> Beyond this, though, the AFDL appears to not have been overly concerned with providing education (or healthcare, for that matter).</w:t>
      </w:r>
    </w:p>
    <w:p w:rsidR="007448FF" w:rsidRPr="00F62BA4" w:rsidRDefault="007D3BCA" w:rsidP="004D11D2">
      <w:pPr>
        <w:rPr>
          <w:rFonts w:ascii="Times New Roman" w:hAnsi="Times New Roman" w:cs="Times New Roman"/>
          <w:sz w:val="24"/>
          <w:szCs w:val="24"/>
        </w:rPr>
      </w:pPr>
      <w:r w:rsidRPr="00F62BA4">
        <w:rPr>
          <w:rFonts w:ascii="Times New Roman" w:hAnsi="Times New Roman" w:cs="Times New Roman"/>
          <w:sz w:val="24"/>
          <w:szCs w:val="24"/>
        </w:rPr>
        <w:tab/>
        <w:t>The group did arrange for referenda to be conducted, but the purpose was not to represent popular interests in lawmaking.</w:t>
      </w:r>
      <w:r w:rsidRPr="00F62BA4">
        <w:rPr>
          <w:rStyle w:val="FootnoteReference"/>
          <w:rFonts w:ascii="Times New Roman" w:hAnsi="Times New Roman" w:cs="Times New Roman"/>
          <w:sz w:val="24"/>
          <w:szCs w:val="24"/>
        </w:rPr>
        <w:footnoteReference w:id="138"/>
      </w:r>
      <w:r w:rsidRPr="00F62BA4">
        <w:rPr>
          <w:rFonts w:ascii="Times New Roman" w:hAnsi="Times New Roman" w:cs="Times New Roman"/>
          <w:sz w:val="24"/>
          <w:szCs w:val="24"/>
        </w:rPr>
        <w:t xml:space="preserve"> The reason for these was to identify corrupt officials and remove them from their posts. This could be done with little political cost as most officials had no ties to the AFDL by design. The downside to this arrangement, though, is that the group had little institutional competency outside of the military. </w:t>
      </w:r>
    </w:p>
    <w:p w:rsidR="000F0256" w:rsidRPr="00F62BA4" w:rsidRDefault="007448FF" w:rsidP="007448FF">
      <w:pPr>
        <w:ind w:firstLine="720"/>
        <w:rPr>
          <w:rFonts w:ascii="Times New Roman" w:hAnsi="Times New Roman" w:cs="Times New Roman"/>
          <w:sz w:val="24"/>
          <w:szCs w:val="24"/>
        </w:rPr>
      </w:pPr>
      <w:r w:rsidRPr="00F62BA4">
        <w:rPr>
          <w:rFonts w:ascii="Times New Roman" w:hAnsi="Times New Roman" w:cs="Times New Roman"/>
          <w:sz w:val="24"/>
          <w:szCs w:val="24"/>
        </w:rPr>
        <w:t>A</w:t>
      </w:r>
      <w:r w:rsidR="000F0256" w:rsidRPr="00F62BA4">
        <w:rPr>
          <w:rFonts w:ascii="Times New Roman" w:hAnsi="Times New Roman" w:cs="Times New Roman"/>
          <w:sz w:val="24"/>
          <w:szCs w:val="24"/>
        </w:rPr>
        <w:t>ny praise for success must be</w:t>
      </w:r>
      <w:r w:rsidR="007232BD" w:rsidRPr="00F62BA4">
        <w:rPr>
          <w:rFonts w:ascii="Times New Roman" w:hAnsi="Times New Roman" w:cs="Times New Roman"/>
          <w:sz w:val="24"/>
          <w:szCs w:val="24"/>
        </w:rPr>
        <w:t xml:space="preserve"> further</w:t>
      </w:r>
      <w:r w:rsidR="000F0256" w:rsidRPr="00F62BA4">
        <w:rPr>
          <w:rFonts w:ascii="Times New Roman" w:hAnsi="Times New Roman" w:cs="Times New Roman"/>
          <w:sz w:val="24"/>
          <w:szCs w:val="24"/>
        </w:rPr>
        <w:t xml:space="preserve"> tempered by the fact that the AFDL committed scores of human rights violations on their way to victory, though.</w:t>
      </w:r>
      <w:r w:rsidR="000F0256" w:rsidRPr="00F62BA4">
        <w:rPr>
          <w:rStyle w:val="FootnoteReference"/>
          <w:rFonts w:ascii="Times New Roman" w:hAnsi="Times New Roman" w:cs="Times New Roman"/>
          <w:sz w:val="24"/>
          <w:szCs w:val="24"/>
        </w:rPr>
        <w:footnoteReference w:id="139"/>
      </w:r>
      <w:r w:rsidRPr="00F62BA4">
        <w:rPr>
          <w:rFonts w:ascii="Times New Roman" w:hAnsi="Times New Roman" w:cs="Times New Roman"/>
          <w:sz w:val="24"/>
          <w:szCs w:val="24"/>
        </w:rPr>
        <w:t xml:space="preserve"> Aside from attacks on refugees, it is also clear that the </w:t>
      </w:r>
      <w:r w:rsidR="005B1032">
        <w:rPr>
          <w:rFonts w:ascii="Times New Roman" w:hAnsi="Times New Roman" w:cs="Times New Roman"/>
          <w:sz w:val="24"/>
          <w:szCs w:val="24"/>
        </w:rPr>
        <w:t>policing and juridical</w:t>
      </w:r>
      <w:r w:rsidRPr="00F62BA4">
        <w:rPr>
          <w:rFonts w:ascii="Times New Roman" w:hAnsi="Times New Roman" w:cs="Times New Roman"/>
          <w:sz w:val="24"/>
          <w:szCs w:val="24"/>
        </w:rPr>
        <w:t xml:space="preserve"> functions that the AFDL pursued had more to do with quashing dissent than enforcing the rule of law.</w:t>
      </w:r>
      <w:r w:rsidRPr="00F62BA4">
        <w:rPr>
          <w:rStyle w:val="FootnoteReference"/>
          <w:rFonts w:ascii="Times New Roman" w:hAnsi="Times New Roman" w:cs="Times New Roman"/>
          <w:sz w:val="24"/>
          <w:szCs w:val="24"/>
        </w:rPr>
        <w:footnoteReference w:id="140"/>
      </w:r>
      <w:r w:rsidR="00411D06" w:rsidRPr="00F62BA4">
        <w:rPr>
          <w:rFonts w:ascii="Times New Roman" w:hAnsi="Times New Roman" w:cs="Times New Roman"/>
          <w:sz w:val="24"/>
          <w:szCs w:val="24"/>
        </w:rPr>
        <w:t xml:space="preserve"> While the war’s brevity may have precluded the possibility of good governance, it appears that the AFDL was also not entirely committed to the project in the first place.</w:t>
      </w:r>
    </w:p>
    <w:p w:rsidR="004D11D2" w:rsidRPr="00F62BA4" w:rsidRDefault="004D11D2" w:rsidP="004D11D2">
      <w:pPr>
        <w:rPr>
          <w:rFonts w:ascii="Times New Roman" w:hAnsi="Times New Roman" w:cs="Times New Roman"/>
          <w:b/>
          <w:sz w:val="24"/>
          <w:szCs w:val="24"/>
        </w:rPr>
      </w:pPr>
      <w:r w:rsidRPr="00F62BA4">
        <w:rPr>
          <w:rFonts w:ascii="Times New Roman" w:hAnsi="Times New Roman" w:cs="Times New Roman"/>
          <w:b/>
          <w:sz w:val="24"/>
          <w:szCs w:val="24"/>
        </w:rPr>
        <w:t>Democratic Republic of Congo</w:t>
      </w:r>
      <w:r w:rsidR="00F508FB" w:rsidRPr="00F62BA4">
        <w:rPr>
          <w:rFonts w:ascii="Times New Roman" w:hAnsi="Times New Roman" w:cs="Times New Roman"/>
          <w:b/>
          <w:sz w:val="24"/>
          <w:szCs w:val="24"/>
        </w:rPr>
        <w:t xml:space="preserve"> (Zaire)</w:t>
      </w:r>
      <w:r w:rsidRPr="00F62BA4">
        <w:rPr>
          <w:rFonts w:ascii="Times New Roman" w:hAnsi="Times New Roman" w:cs="Times New Roman"/>
          <w:b/>
          <w:sz w:val="24"/>
          <w:szCs w:val="24"/>
        </w:rPr>
        <w:t xml:space="preserve"> (1998-1999)</w:t>
      </w:r>
    </w:p>
    <w:p w:rsidR="00C7380F" w:rsidRPr="00F62BA4" w:rsidRDefault="00C7380F" w:rsidP="00C7380F">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EB6840" w:rsidRPr="00F62BA4">
        <w:rPr>
          <w:rFonts w:ascii="Times New Roman" w:hAnsi="Times New Roman" w:cs="Times New Roman"/>
          <w:sz w:val="24"/>
          <w:szCs w:val="24"/>
        </w:rPr>
        <w:t>Congolese Rally for Democracy</w:t>
      </w:r>
      <w:r w:rsidR="001655AB" w:rsidRPr="00F62BA4">
        <w:rPr>
          <w:rFonts w:ascii="Times New Roman" w:hAnsi="Times New Roman" w:cs="Times New Roman"/>
          <w:sz w:val="24"/>
          <w:szCs w:val="24"/>
        </w:rPr>
        <w:t xml:space="preserve"> (RCD)</w:t>
      </w:r>
      <w:r w:rsidR="00BA6C3E" w:rsidRPr="00F62BA4">
        <w:rPr>
          <w:rFonts w:ascii="Times New Roman" w:hAnsi="Times New Roman" w:cs="Times New Roman"/>
          <w:sz w:val="24"/>
          <w:szCs w:val="24"/>
        </w:rPr>
        <w:t xml:space="preserve"> (Later RCD-Goma, others)</w:t>
      </w:r>
      <w:r w:rsidR="00B34217">
        <w:rPr>
          <w:rFonts w:ascii="Times New Roman" w:hAnsi="Times New Roman" w:cs="Times New Roman"/>
          <w:sz w:val="24"/>
          <w:szCs w:val="24"/>
        </w:rPr>
        <w:t>, The Movement for the Liberation of the Congo (MLC)</w:t>
      </w:r>
      <w:r w:rsidR="00DE7A12" w:rsidRPr="00F62BA4">
        <w:rPr>
          <w:rFonts w:ascii="Times New Roman" w:hAnsi="Times New Roman" w:cs="Times New Roman"/>
          <w:sz w:val="24"/>
          <w:szCs w:val="24"/>
        </w:rPr>
        <w:t xml:space="preserve"> </w:t>
      </w:r>
      <w:r w:rsidR="00EB6840" w:rsidRPr="00F62BA4">
        <w:rPr>
          <w:rFonts w:ascii="Times New Roman" w:hAnsi="Times New Roman" w:cs="Times New Roman"/>
          <w:sz w:val="24"/>
          <w:szCs w:val="24"/>
        </w:rPr>
        <w:t>/ D</w:t>
      </w:r>
      <w:r w:rsidR="001655AB" w:rsidRPr="00F62BA4">
        <w:rPr>
          <w:rFonts w:ascii="Times New Roman" w:hAnsi="Times New Roman" w:cs="Times New Roman"/>
          <w:sz w:val="24"/>
          <w:szCs w:val="24"/>
        </w:rPr>
        <w:t xml:space="preserve">emocratic </w:t>
      </w:r>
      <w:r w:rsidR="00EB6840" w:rsidRPr="00F62BA4">
        <w:rPr>
          <w:rFonts w:ascii="Times New Roman" w:hAnsi="Times New Roman" w:cs="Times New Roman"/>
          <w:sz w:val="24"/>
          <w:szCs w:val="24"/>
        </w:rPr>
        <w:t>R</w:t>
      </w:r>
      <w:r w:rsidR="001655AB" w:rsidRPr="00F62BA4">
        <w:rPr>
          <w:rFonts w:ascii="Times New Roman" w:hAnsi="Times New Roman" w:cs="Times New Roman"/>
          <w:sz w:val="24"/>
          <w:szCs w:val="24"/>
        </w:rPr>
        <w:t xml:space="preserve">epublic of </w:t>
      </w:r>
      <w:r w:rsidR="00EB6840" w:rsidRPr="00F62BA4">
        <w:rPr>
          <w:rFonts w:ascii="Times New Roman" w:hAnsi="Times New Roman" w:cs="Times New Roman"/>
          <w:sz w:val="24"/>
          <w:szCs w:val="24"/>
        </w:rPr>
        <w:t>C</w:t>
      </w:r>
      <w:r w:rsidR="001655AB" w:rsidRPr="00F62BA4">
        <w:rPr>
          <w:rFonts w:ascii="Times New Roman" w:hAnsi="Times New Roman" w:cs="Times New Roman"/>
          <w:sz w:val="24"/>
          <w:szCs w:val="24"/>
        </w:rPr>
        <w:t>ongo (DRC)</w:t>
      </w:r>
    </w:p>
    <w:p w:rsidR="00490AF3" w:rsidRPr="00F62BA4" w:rsidRDefault="005B1032" w:rsidP="00490AF3">
      <w:pPr>
        <w:rPr>
          <w:rFonts w:ascii="Times New Roman" w:hAnsi="Times New Roman" w:cs="Times New Roman"/>
          <w:b/>
          <w:sz w:val="24"/>
          <w:szCs w:val="24"/>
        </w:rPr>
      </w:pPr>
      <w:r>
        <w:rPr>
          <w:rFonts w:ascii="Times New Roman" w:hAnsi="Times New Roman" w:cs="Times New Roman"/>
          <w:b/>
          <w:sz w:val="24"/>
          <w:szCs w:val="24"/>
        </w:rPr>
        <w:t>Policing/juridical</w:t>
      </w:r>
      <w:r w:rsidR="00490AF3" w:rsidRPr="00F62BA4">
        <w:rPr>
          <w:rFonts w:ascii="Times New Roman" w:hAnsi="Times New Roman" w:cs="Times New Roman"/>
          <w:b/>
          <w:sz w:val="24"/>
          <w:szCs w:val="24"/>
        </w:rPr>
        <w:t xml:space="preserve">: </w:t>
      </w:r>
      <w:r w:rsidR="000111E5">
        <w:rPr>
          <w:rFonts w:ascii="Times New Roman" w:hAnsi="Times New Roman" w:cs="Times New Roman"/>
          <w:b/>
          <w:sz w:val="24"/>
          <w:szCs w:val="24"/>
        </w:rPr>
        <w:t>0</w:t>
      </w:r>
      <w:r w:rsidR="00490AF3" w:rsidRPr="00F62BA4">
        <w:rPr>
          <w:rFonts w:ascii="Times New Roman" w:hAnsi="Times New Roman" w:cs="Times New Roman"/>
          <w:b/>
          <w:sz w:val="24"/>
          <w:szCs w:val="24"/>
        </w:rPr>
        <w:t xml:space="preserve">; Public Goods: 0; </w:t>
      </w:r>
      <w:r>
        <w:rPr>
          <w:rFonts w:ascii="Times New Roman" w:hAnsi="Times New Roman" w:cs="Times New Roman"/>
          <w:b/>
          <w:sz w:val="24"/>
          <w:szCs w:val="24"/>
        </w:rPr>
        <w:t>Consultative instruments</w:t>
      </w:r>
      <w:r w:rsidR="00490AF3" w:rsidRPr="00F62BA4">
        <w:rPr>
          <w:rFonts w:ascii="Times New Roman" w:hAnsi="Times New Roman" w:cs="Times New Roman"/>
          <w:b/>
          <w:sz w:val="24"/>
          <w:szCs w:val="24"/>
        </w:rPr>
        <w:t>: 0</w:t>
      </w:r>
    </w:p>
    <w:p w:rsidR="00DE7A12" w:rsidRPr="00F62BA4" w:rsidRDefault="00DE7A12" w:rsidP="00C7380F">
      <w:pPr>
        <w:rPr>
          <w:rFonts w:ascii="Times New Roman" w:hAnsi="Times New Roman" w:cs="Times New Roman"/>
          <w:sz w:val="24"/>
          <w:szCs w:val="24"/>
        </w:rPr>
      </w:pPr>
      <w:r w:rsidRPr="00F62BA4">
        <w:rPr>
          <w:rFonts w:ascii="Times New Roman" w:hAnsi="Times New Roman" w:cs="Times New Roman"/>
          <w:sz w:val="24"/>
          <w:szCs w:val="24"/>
        </w:rPr>
        <w:tab/>
        <w:t xml:space="preserve">The second war in DRC </w:t>
      </w:r>
      <w:r w:rsidR="00EA589E" w:rsidRPr="00F62BA4">
        <w:rPr>
          <w:rFonts w:ascii="Times New Roman" w:hAnsi="Times New Roman" w:cs="Times New Roman"/>
          <w:sz w:val="24"/>
          <w:szCs w:val="24"/>
        </w:rPr>
        <w:t>saw the ascendant rebels from the previous conflict play</w:t>
      </w:r>
      <w:r w:rsidR="00A42A44" w:rsidRPr="00F62BA4">
        <w:rPr>
          <w:rFonts w:ascii="Times New Roman" w:hAnsi="Times New Roman" w:cs="Times New Roman"/>
          <w:sz w:val="24"/>
          <w:szCs w:val="24"/>
        </w:rPr>
        <w:t>ing the part of the incumbents. Similarly, the role of the AFDL was taken up by the RCD.</w:t>
      </w:r>
      <w:r w:rsidRPr="00F62BA4">
        <w:rPr>
          <w:rFonts w:ascii="Times New Roman" w:hAnsi="Times New Roman" w:cs="Times New Roman"/>
          <w:sz w:val="24"/>
          <w:szCs w:val="24"/>
        </w:rPr>
        <w:tab/>
      </w:r>
      <w:r w:rsidR="00A42A44" w:rsidRPr="00F62BA4">
        <w:rPr>
          <w:rFonts w:ascii="Times New Roman" w:hAnsi="Times New Roman" w:cs="Times New Roman"/>
          <w:sz w:val="24"/>
          <w:szCs w:val="24"/>
        </w:rPr>
        <w:t xml:space="preserve"> </w:t>
      </w:r>
      <w:r w:rsidRPr="00F62BA4">
        <w:rPr>
          <w:rFonts w:ascii="Times New Roman" w:hAnsi="Times New Roman" w:cs="Times New Roman"/>
          <w:sz w:val="24"/>
          <w:szCs w:val="24"/>
        </w:rPr>
        <w:t>RCD governance strategy is one which should strike observers as familiar—indeed, their AFDL predecessors used one quite similar.</w:t>
      </w:r>
      <w:r w:rsidRPr="00F62BA4">
        <w:rPr>
          <w:rStyle w:val="FootnoteReference"/>
          <w:rFonts w:ascii="Times New Roman" w:hAnsi="Times New Roman" w:cs="Times New Roman"/>
          <w:sz w:val="24"/>
          <w:szCs w:val="24"/>
        </w:rPr>
        <w:footnoteReference w:id="141"/>
      </w:r>
      <w:r w:rsidRPr="00F62BA4">
        <w:rPr>
          <w:rFonts w:ascii="Times New Roman" w:hAnsi="Times New Roman" w:cs="Times New Roman"/>
          <w:sz w:val="24"/>
          <w:szCs w:val="24"/>
        </w:rPr>
        <w:t xml:space="preserve"> Instead of building institutions from scratch, the RCD attempted to coopt what little state competency remained in controlled territory. Even where this was found wanting, the RCD tried to invigorate atrophied institutions to at least produce the illusion that they, like their predecessors, were a “government in waiting.”</w:t>
      </w:r>
    </w:p>
    <w:p w:rsidR="00DE7A12" w:rsidRPr="00F62BA4" w:rsidRDefault="00DE7A12" w:rsidP="00C7380F">
      <w:pPr>
        <w:rPr>
          <w:rFonts w:ascii="Times New Roman" w:hAnsi="Times New Roman" w:cs="Times New Roman"/>
          <w:sz w:val="24"/>
          <w:szCs w:val="24"/>
        </w:rPr>
      </w:pPr>
      <w:r w:rsidRPr="00F62BA4">
        <w:rPr>
          <w:rFonts w:ascii="Times New Roman" w:hAnsi="Times New Roman" w:cs="Times New Roman"/>
          <w:sz w:val="24"/>
          <w:szCs w:val="24"/>
        </w:rPr>
        <w:tab/>
        <w:t xml:space="preserve">Unfortunately, RCD ambitions were more impressive than the outcomes the group was able to produce. </w:t>
      </w:r>
      <w:r w:rsidR="00BA6C3E" w:rsidRPr="00F62BA4">
        <w:rPr>
          <w:rFonts w:ascii="Times New Roman" w:hAnsi="Times New Roman" w:cs="Times New Roman"/>
          <w:sz w:val="24"/>
          <w:szCs w:val="24"/>
        </w:rPr>
        <w:t>Their cadres were undisciplined and several human rights violations were committed against their subject populations. In spite of this, the RCD appeared to play a role in creating a multi-ethnic conflict resolution organ: the Council of Elders.</w:t>
      </w:r>
      <w:r w:rsidR="00BA6C3E" w:rsidRPr="00F62BA4">
        <w:rPr>
          <w:rStyle w:val="FootnoteReference"/>
          <w:rFonts w:ascii="Times New Roman" w:hAnsi="Times New Roman" w:cs="Times New Roman"/>
          <w:sz w:val="24"/>
          <w:szCs w:val="24"/>
        </w:rPr>
        <w:footnoteReference w:id="142"/>
      </w:r>
      <w:r w:rsidR="00BA6C3E" w:rsidRPr="00F62BA4">
        <w:rPr>
          <w:rFonts w:ascii="Times New Roman" w:hAnsi="Times New Roman" w:cs="Times New Roman"/>
          <w:sz w:val="24"/>
          <w:szCs w:val="24"/>
        </w:rPr>
        <w:t xml:space="preserve"> </w:t>
      </w:r>
      <w:r w:rsidR="000111E5">
        <w:rPr>
          <w:rFonts w:ascii="Times New Roman" w:hAnsi="Times New Roman" w:cs="Times New Roman"/>
          <w:sz w:val="24"/>
          <w:szCs w:val="24"/>
        </w:rPr>
        <w:t>T</w:t>
      </w:r>
      <w:r w:rsidR="00BA6C3E" w:rsidRPr="00F62BA4">
        <w:rPr>
          <w:rFonts w:ascii="Times New Roman" w:hAnsi="Times New Roman" w:cs="Times New Roman"/>
          <w:sz w:val="24"/>
          <w:szCs w:val="24"/>
        </w:rPr>
        <w:t>he group</w:t>
      </w:r>
      <w:r w:rsidR="00B37D93" w:rsidRPr="00F62BA4">
        <w:rPr>
          <w:rFonts w:ascii="Times New Roman" w:hAnsi="Times New Roman" w:cs="Times New Roman"/>
          <w:sz w:val="24"/>
          <w:szCs w:val="24"/>
        </w:rPr>
        <w:t>’s</w:t>
      </w:r>
      <w:r w:rsidR="00BA6C3E" w:rsidRPr="00F62BA4">
        <w:rPr>
          <w:rFonts w:ascii="Times New Roman" w:hAnsi="Times New Roman" w:cs="Times New Roman"/>
          <w:sz w:val="24"/>
          <w:szCs w:val="24"/>
        </w:rPr>
        <w:t xml:space="preserve"> efforts at establishing policing and judicial functions seems to be more as a means of collecting revenue than establishing law and order</w:t>
      </w:r>
      <w:r w:rsidR="000111E5">
        <w:rPr>
          <w:rFonts w:ascii="Times New Roman" w:hAnsi="Times New Roman" w:cs="Times New Roman"/>
          <w:sz w:val="24"/>
          <w:szCs w:val="24"/>
        </w:rPr>
        <w:t xml:space="preserve">, though. Indeed, </w:t>
      </w:r>
      <w:r w:rsidR="00037F20">
        <w:rPr>
          <w:rFonts w:ascii="Times New Roman" w:hAnsi="Times New Roman" w:cs="Times New Roman"/>
          <w:sz w:val="24"/>
          <w:szCs w:val="24"/>
        </w:rPr>
        <w:t xml:space="preserve">they considered security to be a “private </w:t>
      </w:r>
      <w:r w:rsidR="00037F20">
        <w:rPr>
          <w:rFonts w:ascii="Times New Roman" w:hAnsi="Times New Roman" w:cs="Times New Roman"/>
          <w:sz w:val="24"/>
          <w:szCs w:val="24"/>
        </w:rPr>
        <w:lastRenderedPageBreak/>
        <w:t>matter,” which can help explain the profound insecurity experienced during the conflict among the civilian population.</w:t>
      </w:r>
      <w:r w:rsidR="00D759E0">
        <w:rPr>
          <w:rStyle w:val="FootnoteReference"/>
          <w:rFonts w:ascii="Times New Roman" w:hAnsi="Times New Roman" w:cs="Times New Roman"/>
          <w:sz w:val="24"/>
          <w:szCs w:val="24"/>
        </w:rPr>
        <w:footnoteReference w:id="143"/>
      </w:r>
    </w:p>
    <w:p w:rsidR="00BA6C3E" w:rsidRDefault="00BA6C3E" w:rsidP="00C7380F">
      <w:pPr>
        <w:rPr>
          <w:rFonts w:ascii="Times New Roman" w:hAnsi="Times New Roman" w:cs="Times New Roman"/>
          <w:sz w:val="24"/>
          <w:szCs w:val="24"/>
        </w:rPr>
      </w:pPr>
      <w:r w:rsidRPr="00F62BA4">
        <w:rPr>
          <w:rFonts w:ascii="Times New Roman" w:hAnsi="Times New Roman" w:cs="Times New Roman"/>
          <w:sz w:val="24"/>
          <w:szCs w:val="24"/>
        </w:rPr>
        <w:tab/>
        <w:t>The group (and later its factions) appeared to be interested in establishing public good provision at the war’s outset.</w:t>
      </w:r>
      <w:r w:rsidRPr="00F62BA4">
        <w:rPr>
          <w:rStyle w:val="FootnoteReference"/>
          <w:rFonts w:ascii="Times New Roman" w:hAnsi="Times New Roman" w:cs="Times New Roman"/>
          <w:sz w:val="24"/>
          <w:szCs w:val="24"/>
        </w:rPr>
        <w:footnoteReference w:id="144"/>
      </w:r>
      <w:r w:rsidR="000111E5">
        <w:rPr>
          <w:rFonts w:ascii="Times New Roman" w:hAnsi="Times New Roman" w:cs="Times New Roman"/>
          <w:sz w:val="24"/>
          <w:szCs w:val="24"/>
        </w:rPr>
        <w:t xml:space="preserve"> This enthusiasm evaporated quickly, though. In spite of RCD’s efforts to produce the trappings of a state (ministries, stationary, etc.), </w:t>
      </w:r>
      <w:r w:rsidR="00037F20">
        <w:rPr>
          <w:rFonts w:ascii="Times New Roman" w:hAnsi="Times New Roman" w:cs="Times New Roman"/>
          <w:sz w:val="24"/>
          <w:szCs w:val="24"/>
        </w:rPr>
        <w:t>its efforts at providing goods themselves were barely extant.</w:t>
      </w:r>
      <w:r w:rsidR="000111E5">
        <w:rPr>
          <w:rStyle w:val="FootnoteReference"/>
          <w:rFonts w:ascii="Times New Roman" w:hAnsi="Times New Roman" w:cs="Times New Roman"/>
          <w:sz w:val="24"/>
          <w:szCs w:val="24"/>
        </w:rPr>
        <w:footnoteReference w:id="145"/>
      </w:r>
      <w:r w:rsidRPr="00F62BA4">
        <w:rPr>
          <w:rFonts w:ascii="Times New Roman" w:hAnsi="Times New Roman" w:cs="Times New Roman"/>
          <w:sz w:val="24"/>
          <w:szCs w:val="24"/>
        </w:rPr>
        <w:t xml:space="preserve"> The extent of their support for education amounts to not getting in the way of civil society actors’ provision of the good. Healthcare, such as it was, came entirely from </w:t>
      </w:r>
      <w:r w:rsidR="00EB4316" w:rsidRPr="00F62BA4">
        <w:rPr>
          <w:rFonts w:ascii="Times New Roman" w:hAnsi="Times New Roman" w:cs="Times New Roman"/>
          <w:sz w:val="24"/>
          <w:szCs w:val="24"/>
        </w:rPr>
        <w:t>NGO’s—even during the peace between the two conflicts.</w:t>
      </w:r>
      <w:r w:rsidR="00EB4316" w:rsidRPr="00F62BA4">
        <w:rPr>
          <w:rStyle w:val="FootnoteReference"/>
          <w:rFonts w:ascii="Times New Roman" w:hAnsi="Times New Roman" w:cs="Times New Roman"/>
          <w:sz w:val="24"/>
          <w:szCs w:val="24"/>
        </w:rPr>
        <w:footnoteReference w:id="146"/>
      </w:r>
      <w:r w:rsidR="007232BD" w:rsidRPr="00F62BA4">
        <w:rPr>
          <w:rFonts w:ascii="Times New Roman" w:hAnsi="Times New Roman" w:cs="Times New Roman"/>
          <w:sz w:val="24"/>
          <w:szCs w:val="24"/>
        </w:rPr>
        <w:t xml:space="preserve"> Similarly, in spite of numerous claims from the group itself to the contrary, there was little concrete evidence that attempts to establish anything like a rule of law—or even cadre discipline—by any manifestation of the RCD and its constituent, splinter, and rival groups bore fruit.</w:t>
      </w:r>
      <w:r w:rsidR="007232BD" w:rsidRPr="00F62BA4">
        <w:rPr>
          <w:rStyle w:val="FootnoteReference"/>
          <w:rFonts w:ascii="Times New Roman" w:hAnsi="Times New Roman" w:cs="Times New Roman"/>
          <w:sz w:val="24"/>
          <w:szCs w:val="24"/>
        </w:rPr>
        <w:footnoteReference w:id="147"/>
      </w:r>
    </w:p>
    <w:p w:rsidR="00814193" w:rsidRDefault="00B34217" w:rsidP="00814193">
      <w:pPr>
        <w:rPr>
          <w:rFonts w:ascii="Times New Roman" w:hAnsi="Times New Roman" w:cs="Times New Roman"/>
          <w:sz w:val="24"/>
          <w:szCs w:val="24"/>
        </w:rPr>
      </w:pPr>
      <w:r>
        <w:rPr>
          <w:rFonts w:ascii="Times New Roman" w:hAnsi="Times New Roman" w:cs="Times New Roman"/>
          <w:sz w:val="24"/>
          <w:szCs w:val="24"/>
        </w:rPr>
        <w:tab/>
      </w:r>
      <w:r w:rsidR="0049292D">
        <w:rPr>
          <w:rFonts w:ascii="Times New Roman" w:hAnsi="Times New Roman" w:cs="Times New Roman"/>
          <w:sz w:val="24"/>
          <w:szCs w:val="24"/>
        </w:rPr>
        <w:t>The RCD’s struggles were mirrored by those of the MLC, who like the RCD were supported from abroad but maintained ambitions of ruling the state.</w:t>
      </w:r>
      <w:r w:rsidR="0049292D">
        <w:rPr>
          <w:rStyle w:val="FootnoteReference"/>
          <w:rFonts w:ascii="Times New Roman" w:hAnsi="Times New Roman" w:cs="Times New Roman"/>
          <w:sz w:val="24"/>
          <w:szCs w:val="24"/>
        </w:rPr>
        <w:footnoteReference w:id="148"/>
      </w:r>
      <w:r w:rsidR="0049292D">
        <w:rPr>
          <w:rFonts w:ascii="Times New Roman" w:hAnsi="Times New Roman" w:cs="Times New Roman"/>
          <w:sz w:val="24"/>
          <w:szCs w:val="24"/>
        </w:rPr>
        <w:t xml:space="preserve"> Also like the RCD, their ambitions outstripped their results</w:t>
      </w:r>
      <w:r w:rsidR="00811A1C">
        <w:rPr>
          <w:rFonts w:ascii="Times New Roman" w:hAnsi="Times New Roman" w:cs="Times New Roman"/>
          <w:sz w:val="24"/>
          <w:szCs w:val="24"/>
        </w:rPr>
        <w:t>. They were a popular group, however, and in spite of Ugandan support,</w:t>
      </w:r>
      <w:r w:rsidR="00811A1C">
        <w:rPr>
          <w:rStyle w:val="FootnoteReference"/>
          <w:rFonts w:ascii="Times New Roman" w:hAnsi="Times New Roman" w:cs="Times New Roman"/>
          <w:sz w:val="24"/>
          <w:szCs w:val="24"/>
        </w:rPr>
        <w:footnoteReference w:id="149"/>
      </w:r>
      <w:r w:rsidR="00811A1C">
        <w:rPr>
          <w:rFonts w:ascii="Times New Roman" w:hAnsi="Times New Roman" w:cs="Times New Roman"/>
          <w:sz w:val="24"/>
          <w:szCs w:val="24"/>
        </w:rPr>
        <w:t xml:space="preserve"> were </w:t>
      </w:r>
      <w:r w:rsidR="00CE3164">
        <w:rPr>
          <w:rFonts w:ascii="Times New Roman" w:hAnsi="Times New Roman" w:cs="Times New Roman"/>
          <w:sz w:val="24"/>
          <w:szCs w:val="24"/>
        </w:rPr>
        <w:t>as</w:t>
      </w:r>
      <w:r w:rsidR="00811A1C">
        <w:rPr>
          <w:rFonts w:ascii="Times New Roman" w:hAnsi="Times New Roman" w:cs="Times New Roman"/>
          <w:sz w:val="24"/>
          <w:szCs w:val="24"/>
        </w:rPr>
        <w:t xml:space="preserve"> successful at collecting revenues and taking advantage of the natural resources in their controlled territories</w:t>
      </w:r>
      <w:r w:rsidR="00CE3164">
        <w:rPr>
          <w:rFonts w:ascii="Times New Roman" w:hAnsi="Times New Roman" w:cs="Times New Roman"/>
          <w:sz w:val="24"/>
          <w:szCs w:val="24"/>
        </w:rPr>
        <w:t xml:space="preserve"> as the RCD</w:t>
      </w:r>
      <w:r w:rsidR="00811A1C">
        <w:rPr>
          <w:rFonts w:ascii="Times New Roman" w:hAnsi="Times New Roman" w:cs="Times New Roman"/>
          <w:sz w:val="24"/>
          <w:szCs w:val="24"/>
        </w:rPr>
        <w:t>.</w:t>
      </w:r>
      <w:r w:rsidR="00CE3164">
        <w:rPr>
          <w:rStyle w:val="FootnoteReference"/>
          <w:rFonts w:ascii="Times New Roman" w:hAnsi="Times New Roman" w:cs="Times New Roman"/>
          <w:sz w:val="24"/>
          <w:szCs w:val="24"/>
        </w:rPr>
        <w:footnoteReference w:id="150"/>
      </w:r>
      <w:r w:rsidR="00811A1C">
        <w:rPr>
          <w:rFonts w:ascii="Times New Roman" w:hAnsi="Times New Roman" w:cs="Times New Roman"/>
          <w:sz w:val="24"/>
          <w:szCs w:val="24"/>
        </w:rPr>
        <w:t xml:space="preserve"> This was the extent of their successes, however. The lack of accountability measures meant that the group’s forces abused civilians with impunity</w:t>
      </w:r>
      <w:r w:rsidR="00814193">
        <w:rPr>
          <w:rFonts w:ascii="Times New Roman" w:hAnsi="Times New Roman" w:cs="Times New Roman"/>
          <w:sz w:val="24"/>
          <w:szCs w:val="24"/>
        </w:rPr>
        <w:t>.</w:t>
      </w:r>
    </w:p>
    <w:p w:rsidR="0049292D" w:rsidRPr="00F62BA4" w:rsidRDefault="00811A1C" w:rsidP="00811A1C">
      <w:pPr>
        <w:ind w:firstLine="720"/>
        <w:rPr>
          <w:rFonts w:ascii="Times New Roman" w:hAnsi="Times New Roman" w:cs="Times New Roman"/>
          <w:sz w:val="24"/>
          <w:szCs w:val="24"/>
        </w:rPr>
      </w:pPr>
      <w:r>
        <w:rPr>
          <w:rFonts w:ascii="Times New Roman" w:hAnsi="Times New Roman" w:cs="Times New Roman"/>
          <w:sz w:val="24"/>
          <w:szCs w:val="24"/>
        </w:rPr>
        <w:t>One could argue that</w:t>
      </w:r>
      <w:r w:rsidR="0049292D">
        <w:rPr>
          <w:rFonts w:ascii="Times New Roman" w:hAnsi="Times New Roman" w:cs="Times New Roman"/>
          <w:sz w:val="24"/>
          <w:szCs w:val="24"/>
        </w:rPr>
        <w:t xml:space="preserve"> the group was more successful than the RCD in producing </w:t>
      </w:r>
      <w:r w:rsidR="005B1032">
        <w:rPr>
          <w:rFonts w:ascii="Times New Roman" w:hAnsi="Times New Roman" w:cs="Times New Roman"/>
          <w:sz w:val="24"/>
          <w:szCs w:val="24"/>
        </w:rPr>
        <w:t>consultative instruments</w:t>
      </w:r>
      <w:r w:rsidR="0049292D">
        <w:rPr>
          <w:rFonts w:ascii="Times New Roman" w:hAnsi="Times New Roman" w:cs="Times New Roman"/>
          <w:sz w:val="24"/>
          <w:szCs w:val="24"/>
        </w:rPr>
        <w:t xml:space="preserve">, </w:t>
      </w:r>
      <w:r>
        <w:rPr>
          <w:rFonts w:ascii="Times New Roman" w:hAnsi="Times New Roman" w:cs="Times New Roman"/>
          <w:sz w:val="24"/>
          <w:szCs w:val="24"/>
        </w:rPr>
        <w:t>but those of the MLC had roughly the same impact</w:t>
      </w:r>
      <w:r w:rsidR="0049292D">
        <w:rPr>
          <w:rFonts w:ascii="Times New Roman" w:hAnsi="Times New Roman" w:cs="Times New Roman"/>
          <w:sz w:val="24"/>
          <w:szCs w:val="24"/>
        </w:rPr>
        <w:t>. Taken as a whole, it is more accurate to describe the conflict as lacking them.</w:t>
      </w:r>
      <w:r>
        <w:rPr>
          <w:rFonts w:ascii="Times New Roman" w:hAnsi="Times New Roman" w:cs="Times New Roman"/>
          <w:sz w:val="24"/>
          <w:szCs w:val="24"/>
        </w:rPr>
        <w:t xml:space="preserve"> The group’s founder, </w:t>
      </w:r>
      <w:r w:rsidR="00F42DB2">
        <w:rPr>
          <w:rFonts w:ascii="Times New Roman" w:hAnsi="Times New Roman" w:cs="Times New Roman"/>
          <w:sz w:val="24"/>
          <w:szCs w:val="24"/>
        </w:rPr>
        <w:t>Jean-Pierre</w:t>
      </w:r>
      <w:r w:rsidR="0049292D">
        <w:rPr>
          <w:rFonts w:ascii="Times New Roman" w:hAnsi="Times New Roman" w:cs="Times New Roman"/>
          <w:sz w:val="24"/>
          <w:szCs w:val="24"/>
        </w:rPr>
        <w:t xml:space="preserve"> Bemba saw to it that his version of a “government in waiting” was staffed by people from each of DRC’s districts, but this is the extent of these measures.</w:t>
      </w:r>
      <w:r>
        <w:rPr>
          <w:rStyle w:val="FootnoteReference"/>
          <w:rFonts w:ascii="Times New Roman" w:hAnsi="Times New Roman" w:cs="Times New Roman"/>
          <w:sz w:val="24"/>
          <w:szCs w:val="24"/>
        </w:rPr>
        <w:footnoteReference w:id="151"/>
      </w:r>
      <w:r w:rsidR="00F42DB2">
        <w:rPr>
          <w:rFonts w:ascii="Times New Roman" w:hAnsi="Times New Roman" w:cs="Times New Roman"/>
          <w:sz w:val="24"/>
          <w:szCs w:val="24"/>
        </w:rPr>
        <w:t xml:space="preserve"> This did not stop the Kabila government from coopting them in the Lusaka Accords, but the point stands.</w:t>
      </w:r>
    </w:p>
    <w:p w:rsidR="00685265" w:rsidRPr="00F62BA4" w:rsidRDefault="00685265" w:rsidP="003F767B">
      <w:pPr>
        <w:rPr>
          <w:rFonts w:ascii="Times New Roman" w:hAnsi="Times New Roman" w:cs="Times New Roman"/>
          <w:b/>
          <w:sz w:val="24"/>
          <w:szCs w:val="24"/>
        </w:rPr>
      </w:pPr>
      <w:r w:rsidRPr="00F62BA4">
        <w:rPr>
          <w:rFonts w:ascii="Times New Roman" w:hAnsi="Times New Roman" w:cs="Times New Roman"/>
          <w:b/>
          <w:sz w:val="24"/>
          <w:szCs w:val="24"/>
        </w:rPr>
        <w:t>Democratic Republic of Congo</w:t>
      </w:r>
      <w:r w:rsidR="00F508FB" w:rsidRPr="00F62BA4">
        <w:rPr>
          <w:rFonts w:ascii="Times New Roman" w:hAnsi="Times New Roman" w:cs="Times New Roman"/>
          <w:b/>
          <w:sz w:val="24"/>
          <w:szCs w:val="24"/>
        </w:rPr>
        <w:t xml:space="preserve"> (Zaire)</w:t>
      </w:r>
      <w:r w:rsidRPr="00F62BA4">
        <w:rPr>
          <w:rFonts w:ascii="Times New Roman" w:hAnsi="Times New Roman" w:cs="Times New Roman"/>
          <w:b/>
          <w:sz w:val="24"/>
          <w:szCs w:val="24"/>
        </w:rPr>
        <w:t xml:space="preserve"> (2001-2003)</w:t>
      </w:r>
    </w:p>
    <w:p w:rsidR="0049292D" w:rsidRDefault="00431197" w:rsidP="006D0328">
      <w:pPr>
        <w:rPr>
          <w:rFonts w:ascii="Times New Roman" w:hAnsi="Times New Roman" w:cs="Times New Roman"/>
          <w:sz w:val="24"/>
          <w:szCs w:val="24"/>
        </w:rPr>
      </w:pPr>
      <w:r>
        <w:rPr>
          <w:rFonts w:ascii="Times New Roman" w:hAnsi="Times New Roman" w:cs="Times New Roman"/>
          <w:sz w:val="24"/>
          <w:szCs w:val="24"/>
        </w:rPr>
        <w:t>Rebels / Incumbents: RCD-Goma</w:t>
      </w:r>
      <w:r w:rsidR="00CE3164">
        <w:rPr>
          <w:rFonts w:ascii="Times New Roman" w:hAnsi="Times New Roman" w:cs="Times New Roman"/>
          <w:sz w:val="24"/>
          <w:szCs w:val="24"/>
        </w:rPr>
        <w:t>, MLC</w:t>
      </w:r>
      <w:r>
        <w:rPr>
          <w:rFonts w:ascii="Times New Roman" w:hAnsi="Times New Roman" w:cs="Times New Roman"/>
          <w:sz w:val="24"/>
          <w:szCs w:val="24"/>
        </w:rPr>
        <w:t xml:space="preserve"> / DRC</w:t>
      </w:r>
      <w:r w:rsidR="0049292D">
        <w:rPr>
          <w:rFonts w:ascii="Times New Roman" w:hAnsi="Times New Roman" w:cs="Times New Roman"/>
          <w:sz w:val="24"/>
          <w:szCs w:val="24"/>
        </w:rPr>
        <w:t xml:space="preserve"> </w:t>
      </w:r>
    </w:p>
    <w:p w:rsidR="00490AF3" w:rsidRPr="00490AF3" w:rsidRDefault="005B1032" w:rsidP="006D0328">
      <w:pPr>
        <w:rPr>
          <w:rFonts w:ascii="Times New Roman" w:hAnsi="Times New Roman" w:cs="Times New Roman"/>
          <w:b/>
          <w:sz w:val="24"/>
          <w:szCs w:val="24"/>
        </w:rPr>
      </w:pPr>
      <w:r>
        <w:rPr>
          <w:rFonts w:ascii="Times New Roman" w:hAnsi="Times New Roman" w:cs="Times New Roman"/>
          <w:b/>
          <w:sz w:val="24"/>
          <w:szCs w:val="24"/>
        </w:rPr>
        <w:lastRenderedPageBreak/>
        <w:t>Policing/juridical</w:t>
      </w:r>
      <w:r w:rsidR="00490AF3" w:rsidRPr="00F62BA4">
        <w:rPr>
          <w:rFonts w:ascii="Times New Roman" w:hAnsi="Times New Roman" w:cs="Times New Roman"/>
          <w:b/>
          <w:sz w:val="24"/>
          <w:szCs w:val="24"/>
        </w:rPr>
        <w:t>:</w:t>
      </w:r>
      <w:r w:rsidR="00037F20">
        <w:rPr>
          <w:rFonts w:ascii="Times New Roman" w:hAnsi="Times New Roman" w:cs="Times New Roman"/>
          <w:b/>
          <w:sz w:val="24"/>
          <w:szCs w:val="24"/>
        </w:rPr>
        <w:t xml:space="preserve"> 0</w:t>
      </w:r>
      <w:r w:rsidR="00490AF3" w:rsidRPr="00F62BA4">
        <w:rPr>
          <w:rFonts w:ascii="Times New Roman" w:hAnsi="Times New Roman" w:cs="Times New Roman"/>
          <w:b/>
          <w:sz w:val="24"/>
          <w:szCs w:val="24"/>
        </w:rPr>
        <w:t>; Public G</w:t>
      </w:r>
      <w:r w:rsidR="00490AF3">
        <w:rPr>
          <w:rFonts w:ascii="Times New Roman" w:hAnsi="Times New Roman" w:cs="Times New Roman"/>
          <w:b/>
          <w:sz w:val="24"/>
          <w:szCs w:val="24"/>
        </w:rPr>
        <w:t xml:space="preserve">oods: 0; </w:t>
      </w:r>
      <w:r>
        <w:rPr>
          <w:rFonts w:ascii="Times New Roman" w:hAnsi="Times New Roman" w:cs="Times New Roman"/>
          <w:b/>
          <w:sz w:val="24"/>
          <w:szCs w:val="24"/>
        </w:rPr>
        <w:t>Consultative instruments</w:t>
      </w:r>
      <w:r w:rsidR="00490AF3">
        <w:rPr>
          <w:rFonts w:ascii="Times New Roman" w:hAnsi="Times New Roman" w:cs="Times New Roman"/>
          <w:b/>
          <w:sz w:val="24"/>
          <w:szCs w:val="24"/>
        </w:rPr>
        <w:t xml:space="preserve">: </w:t>
      </w:r>
      <w:r w:rsidR="00F179BC">
        <w:rPr>
          <w:rFonts w:ascii="Times New Roman" w:hAnsi="Times New Roman" w:cs="Times New Roman"/>
          <w:b/>
          <w:sz w:val="24"/>
          <w:szCs w:val="24"/>
        </w:rPr>
        <w:t>1</w:t>
      </w:r>
    </w:p>
    <w:p w:rsidR="008D36B7" w:rsidRDefault="008D36B7" w:rsidP="006D0328">
      <w:pPr>
        <w:rPr>
          <w:rFonts w:ascii="Times New Roman" w:hAnsi="Times New Roman" w:cs="Times New Roman"/>
          <w:sz w:val="24"/>
          <w:szCs w:val="24"/>
        </w:rPr>
      </w:pPr>
      <w:r>
        <w:rPr>
          <w:rFonts w:ascii="Times New Roman" w:hAnsi="Times New Roman" w:cs="Times New Roman"/>
          <w:sz w:val="24"/>
          <w:szCs w:val="24"/>
        </w:rPr>
        <w:tab/>
        <w:t xml:space="preserve">The peace at the end of the second chapter of the civil war was short-lived. By 2001, the Lusaka agreement was shattered by the assassination of President Joseph Kabila (who was replaced by his son). </w:t>
      </w:r>
      <w:r w:rsidR="0010725C">
        <w:rPr>
          <w:rFonts w:ascii="Times New Roman" w:hAnsi="Times New Roman" w:cs="Times New Roman"/>
          <w:sz w:val="24"/>
          <w:szCs w:val="24"/>
        </w:rPr>
        <w:t>Although the conflict’s final chapter was mercifully brief, it nevertheless left DRC’s already desperate population in truly dire straits.</w:t>
      </w:r>
      <w:r w:rsidR="0010725C">
        <w:rPr>
          <w:rStyle w:val="FootnoteReference"/>
          <w:rFonts w:ascii="Times New Roman" w:hAnsi="Times New Roman" w:cs="Times New Roman"/>
          <w:sz w:val="24"/>
          <w:szCs w:val="24"/>
        </w:rPr>
        <w:footnoteReference w:id="152"/>
      </w:r>
    </w:p>
    <w:p w:rsidR="008D36B7" w:rsidRDefault="00431197" w:rsidP="006D0328">
      <w:pPr>
        <w:rPr>
          <w:rFonts w:ascii="Times New Roman" w:hAnsi="Times New Roman" w:cs="Times New Roman"/>
          <w:sz w:val="24"/>
          <w:szCs w:val="24"/>
        </w:rPr>
      </w:pPr>
      <w:r>
        <w:rPr>
          <w:rFonts w:ascii="Times New Roman" w:hAnsi="Times New Roman" w:cs="Times New Roman"/>
          <w:sz w:val="24"/>
          <w:szCs w:val="24"/>
        </w:rPr>
        <w:tab/>
        <w:t>The third and final chapter of DRC’s civil war proceeded much like the second from a governance standpoint.</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Independent (and predominantly religious) civil society actors provided most of what little education there was to be had in DRC (and the state complimented these efforts with its own, although they were less effective).</w:t>
      </w:r>
      <w:r w:rsidR="008D36B7">
        <w:rPr>
          <w:rFonts w:ascii="Times New Roman" w:hAnsi="Times New Roman" w:cs="Times New Roman"/>
          <w:sz w:val="24"/>
          <w:szCs w:val="24"/>
        </w:rPr>
        <w:t xml:space="preserve"> Healthcare provision was similarly provided by independent actors, although in this case by NGO’s. Although the group took pains to mobilize popular support, it does not appear that the group succeeded in establishing </w:t>
      </w:r>
      <w:r w:rsidR="005B1032">
        <w:rPr>
          <w:rFonts w:ascii="Times New Roman" w:hAnsi="Times New Roman" w:cs="Times New Roman"/>
          <w:sz w:val="24"/>
          <w:szCs w:val="24"/>
        </w:rPr>
        <w:t>consultative instruments</w:t>
      </w:r>
      <w:r w:rsidR="008D36B7">
        <w:rPr>
          <w:rFonts w:ascii="Times New Roman" w:hAnsi="Times New Roman" w:cs="Times New Roman"/>
          <w:sz w:val="24"/>
          <w:szCs w:val="24"/>
        </w:rPr>
        <w:t>.</w:t>
      </w:r>
    </w:p>
    <w:p w:rsidR="00AA00BE" w:rsidRDefault="008D36B7" w:rsidP="006D0328">
      <w:pPr>
        <w:rPr>
          <w:rFonts w:ascii="Times New Roman" w:hAnsi="Times New Roman" w:cs="Times New Roman"/>
          <w:sz w:val="24"/>
          <w:szCs w:val="24"/>
        </w:rPr>
      </w:pPr>
      <w:r>
        <w:rPr>
          <w:rFonts w:ascii="Times New Roman" w:hAnsi="Times New Roman" w:cs="Times New Roman"/>
          <w:sz w:val="24"/>
          <w:szCs w:val="24"/>
        </w:rPr>
        <w:tab/>
        <w:t>The one place where governance appeared seems to have been almost incidental.</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The courts that RCD-G ran were, for the most part, used as a source of revenue and a convenient means of disposing of opposition, but their operation bears noting. </w:t>
      </w:r>
      <w:r w:rsidR="00037F20">
        <w:rPr>
          <w:rFonts w:ascii="Times New Roman" w:hAnsi="Times New Roman" w:cs="Times New Roman"/>
          <w:sz w:val="24"/>
          <w:szCs w:val="24"/>
        </w:rPr>
        <w:t>Much like the state that came before, though, the operation of institutional trappings of law enforcement signified nothing as far as law and order were concerned.</w:t>
      </w:r>
      <w:r w:rsidR="00037F20">
        <w:rPr>
          <w:rStyle w:val="FootnoteReference"/>
          <w:rFonts w:ascii="Times New Roman" w:hAnsi="Times New Roman" w:cs="Times New Roman"/>
          <w:sz w:val="24"/>
          <w:szCs w:val="24"/>
        </w:rPr>
        <w:footnoteReference w:id="155"/>
      </w:r>
      <w:r w:rsidR="00037F20">
        <w:rPr>
          <w:rFonts w:ascii="Times New Roman" w:hAnsi="Times New Roman" w:cs="Times New Roman"/>
          <w:sz w:val="24"/>
          <w:szCs w:val="24"/>
        </w:rPr>
        <w:t xml:space="preserve"> Even if one argues that the courts operated as intended, the population did not view them as a source of order.</w:t>
      </w:r>
      <w:r w:rsidR="00037F20">
        <w:rPr>
          <w:rStyle w:val="FootnoteReference"/>
          <w:rFonts w:ascii="Times New Roman" w:hAnsi="Times New Roman" w:cs="Times New Roman"/>
          <w:sz w:val="24"/>
          <w:szCs w:val="24"/>
        </w:rPr>
        <w:footnoteReference w:id="156"/>
      </w:r>
    </w:p>
    <w:p w:rsidR="00CE3164" w:rsidRDefault="00CE3164" w:rsidP="006D0328">
      <w:pPr>
        <w:rPr>
          <w:rFonts w:ascii="Times New Roman" w:hAnsi="Times New Roman" w:cs="Times New Roman"/>
          <w:sz w:val="24"/>
          <w:szCs w:val="24"/>
        </w:rPr>
      </w:pPr>
      <w:r>
        <w:rPr>
          <w:rFonts w:ascii="Times New Roman" w:hAnsi="Times New Roman" w:cs="Times New Roman"/>
          <w:sz w:val="24"/>
          <w:szCs w:val="24"/>
        </w:rPr>
        <w:tab/>
        <w:t>In spite of having been brought into the government at the end of the conflict’s second chapter, the MLC was also at war with Kabila’s government.</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 xml:space="preserve"> While some saw the group as one which could have a positive impact on the country before this stage,</w:t>
      </w:r>
      <w:r>
        <w:rPr>
          <w:rStyle w:val="FootnoteReference"/>
          <w:rFonts w:ascii="Times New Roman" w:hAnsi="Times New Roman" w:cs="Times New Roman"/>
          <w:sz w:val="24"/>
          <w:szCs w:val="24"/>
        </w:rPr>
        <w:footnoteReference w:id="158"/>
      </w:r>
      <w:r>
        <w:rPr>
          <w:rFonts w:ascii="Times New Roman" w:hAnsi="Times New Roman" w:cs="Times New Roman"/>
          <w:sz w:val="24"/>
          <w:szCs w:val="24"/>
        </w:rPr>
        <w:t xml:space="preserve"> the group’s activities during this stage w</w:t>
      </w:r>
      <w:r w:rsidR="00237FFB">
        <w:rPr>
          <w:rFonts w:ascii="Times New Roman" w:hAnsi="Times New Roman" w:cs="Times New Roman"/>
          <w:sz w:val="24"/>
          <w:szCs w:val="24"/>
        </w:rPr>
        <w:t>ere viewed in a much less positive light.</w:t>
      </w:r>
      <w:r w:rsidR="00237FFB">
        <w:rPr>
          <w:rStyle w:val="FootnoteReference"/>
          <w:rFonts w:ascii="Times New Roman" w:hAnsi="Times New Roman" w:cs="Times New Roman"/>
          <w:sz w:val="24"/>
          <w:szCs w:val="24"/>
        </w:rPr>
        <w:footnoteReference w:id="159"/>
      </w:r>
      <w:r w:rsidR="00237FFB">
        <w:rPr>
          <w:rFonts w:ascii="Times New Roman" w:hAnsi="Times New Roman" w:cs="Times New Roman"/>
          <w:sz w:val="24"/>
          <w:szCs w:val="24"/>
        </w:rPr>
        <w:t xml:space="preserve"> The lack of accountability manifested itself in notorious atrocities committed by MLC forces.</w:t>
      </w:r>
      <w:r w:rsidR="00237FFB">
        <w:rPr>
          <w:rStyle w:val="FootnoteReference"/>
          <w:rFonts w:ascii="Times New Roman" w:hAnsi="Times New Roman" w:cs="Times New Roman"/>
          <w:sz w:val="24"/>
          <w:szCs w:val="24"/>
        </w:rPr>
        <w:footnoteReference w:id="160"/>
      </w:r>
      <w:r w:rsidR="0088067C">
        <w:rPr>
          <w:rFonts w:ascii="Times New Roman" w:hAnsi="Times New Roman" w:cs="Times New Roman"/>
          <w:sz w:val="24"/>
          <w:szCs w:val="24"/>
        </w:rPr>
        <w:t xml:space="preserve"> The most infamous of these became known as Effacer le Tableau (“Erase the Blackboard”), a campaign by MLC and RCD splinter groups to brutalize and exterminate the pygmy population.</w:t>
      </w:r>
      <w:r w:rsidR="0088067C">
        <w:rPr>
          <w:rStyle w:val="FootnoteReference"/>
          <w:rFonts w:ascii="Times New Roman" w:hAnsi="Times New Roman" w:cs="Times New Roman"/>
          <w:sz w:val="24"/>
          <w:szCs w:val="24"/>
        </w:rPr>
        <w:footnoteReference w:id="161"/>
      </w:r>
    </w:p>
    <w:p w:rsidR="00000042" w:rsidRDefault="00000042" w:rsidP="00000042">
      <w:pPr>
        <w:rPr>
          <w:rFonts w:ascii="Times New Roman" w:hAnsi="Times New Roman" w:cs="Times New Roman"/>
          <w:sz w:val="24"/>
          <w:szCs w:val="24"/>
        </w:rPr>
      </w:pPr>
      <w:r>
        <w:rPr>
          <w:rFonts w:ascii="Times New Roman" w:hAnsi="Times New Roman" w:cs="Times New Roman"/>
          <w:sz w:val="24"/>
          <w:szCs w:val="24"/>
        </w:rPr>
        <w:tab/>
        <w:t>The one instance of genuine rebel governance appears to be RCD-Goma’s institution of a Provincial Assembly.</w:t>
      </w:r>
      <w:r>
        <w:rPr>
          <w:rStyle w:val="FootnoteReference"/>
          <w:rFonts w:ascii="Times New Roman" w:hAnsi="Times New Roman" w:cs="Times New Roman"/>
          <w:sz w:val="24"/>
          <w:szCs w:val="24"/>
        </w:rPr>
        <w:footnoteReference w:id="162"/>
      </w:r>
      <w:r>
        <w:rPr>
          <w:rFonts w:ascii="Times New Roman" w:hAnsi="Times New Roman" w:cs="Times New Roman"/>
          <w:sz w:val="24"/>
          <w:szCs w:val="24"/>
        </w:rPr>
        <w:t xml:space="preserve"> While the impact of this organ is limited, its stated aim—to serve as a </w:t>
      </w:r>
      <w:r>
        <w:rPr>
          <w:rFonts w:ascii="Times New Roman" w:hAnsi="Times New Roman" w:cs="Times New Roman"/>
          <w:sz w:val="24"/>
          <w:szCs w:val="24"/>
        </w:rPr>
        <w:lastRenderedPageBreak/>
        <w:t>check on executive power in the Kivus—appears to have been met. For instance, the Pole Institute noted that the assembly debated the North Kivu governor’s proposed budget, ultimately voting for it to be adopted.</w:t>
      </w:r>
      <w:r>
        <w:rPr>
          <w:rStyle w:val="FootnoteReference"/>
          <w:rFonts w:ascii="Times New Roman" w:hAnsi="Times New Roman" w:cs="Times New Roman"/>
          <w:sz w:val="24"/>
          <w:szCs w:val="24"/>
        </w:rPr>
        <w:footnoteReference w:id="163"/>
      </w:r>
    </w:p>
    <w:p w:rsidR="00121CE4" w:rsidRPr="00F62BA4" w:rsidRDefault="00121CE4" w:rsidP="006D0328">
      <w:pPr>
        <w:rPr>
          <w:rFonts w:ascii="Times New Roman" w:hAnsi="Times New Roman" w:cs="Times New Roman"/>
          <w:b/>
          <w:sz w:val="24"/>
          <w:szCs w:val="24"/>
        </w:rPr>
      </w:pPr>
      <w:r w:rsidRPr="00F62BA4">
        <w:rPr>
          <w:rFonts w:ascii="Times New Roman" w:hAnsi="Times New Roman" w:cs="Times New Roman"/>
          <w:b/>
          <w:sz w:val="24"/>
          <w:szCs w:val="24"/>
        </w:rPr>
        <w:t>Djibouti (1991-1994)</w:t>
      </w:r>
    </w:p>
    <w:p w:rsidR="00121CE4" w:rsidRPr="00F62BA4" w:rsidRDefault="00121CE4" w:rsidP="006D0328">
      <w:pPr>
        <w:rPr>
          <w:rFonts w:ascii="Times New Roman" w:hAnsi="Times New Roman" w:cs="Times New Roman"/>
          <w:sz w:val="24"/>
          <w:szCs w:val="24"/>
        </w:rPr>
      </w:pPr>
      <w:r w:rsidRPr="00F62BA4">
        <w:rPr>
          <w:rFonts w:ascii="Times New Roman" w:hAnsi="Times New Roman" w:cs="Times New Roman"/>
          <w:sz w:val="24"/>
          <w:szCs w:val="24"/>
        </w:rPr>
        <w:t>Rebels / Incumbents: Front for the Restoration of Unity and Democracy (FRUD) / Djibouti</w:t>
      </w:r>
    </w:p>
    <w:p w:rsidR="00624959" w:rsidRPr="00F62BA4" w:rsidRDefault="005B1032" w:rsidP="00624959">
      <w:pPr>
        <w:rPr>
          <w:rFonts w:ascii="Times New Roman" w:hAnsi="Times New Roman" w:cs="Times New Roman"/>
          <w:b/>
          <w:sz w:val="24"/>
          <w:szCs w:val="24"/>
        </w:rPr>
      </w:pPr>
      <w:r>
        <w:rPr>
          <w:rFonts w:ascii="Times New Roman" w:hAnsi="Times New Roman" w:cs="Times New Roman"/>
          <w:b/>
          <w:sz w:val="24"/>
          <w:szCs w:val="24"/>
        </w:rPr>
        <w:t>Policing/juridical</w:t>
      </w:r>
      <w:r w:rsidR="00624959"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624959" w:rsidRPr="00F62BA4">
        <w:rPr>
          <w:rFonts w:ascii="Times New Roman" w:hAnsi="Times New Roman" w:cs="Times New Roman"/>
          <w:b/>
          <w:sz w:val="24"/>
          <w:szCs w:val="24"/>
        </w:rPr>
        <w:t>: 0</w:t>
      </w:r>
    </w:p>
    <w:p w:rsidR="00121CE4" w:rsidRPr="00F62BA4" w:rsidRDefault="005D1F9F" w:rsidP="006D0328">
      <w:pPr>
        <w:rPr>
          <w:rFonts w:ascii="Times New Roman" w:hAnsi="Times New Roman" w:cs="Times New Roman"/>
          <w:sz w:val="24"/>
          <w:szCs w:val="24"/>
        </w:rPr>
      </w:pPr>
      <w:r w:rsidRPr="00F62BA4">
        <w:rPr>
          <w:rFonts w:ascii="Times New Roman" w:hAnsi="Times New Roman" w:cs="Times New Roman"/>
          <w:sz w:val="24"/>
          <w:szCs w:val="24"/>
        </w:rPr>
        <w:tab/>
        <w:t>The civil war in Djibouti was waged between the predominantly Afar FRUD (itself a coalition of other dissident groups) and President Hassan Gouled Aptidon’s authoritarian regime in Djibouti.</w:t>
      </w:r>
      <w:r w:rsidRPr="00F62BA4">
        <w:rPr>
          <w:rStyle w:val="FootnoteReference"/>
          <w:rFonts w:ascii="Times New Roman" w:hAnsi="Times New Roman" w:cs="Times New Roman"/>
          <w:sz w:val="24"/>
          <w:szCs w:val="24"/>
        </w:rPr>
        <w:footnoteReference w:id="164"/>
      </w:r>
      <w:r w:rsidR="002A190F" w:rsidRPr="00F62BA4">
        <w:rPr>
          <w:rFonts w:ascii="Times New Roman" w:hAnsi="Times New Roman" w:cs="Times New Roman"/>
          <w:sz w:val="24"/>
          <w:szCs w:val="24"/>
        </w:rPr>
        <w:t xml:space="preserve"> Discontent at the president’s powers and what Afars perceived as an institutionalized and systematic preference for Issa over Afar were sufficient to constitute a raison de guerre, but as the Front’s name suggests, FRUD was also dedicated to producing a democracy—either by overthrowing the current government or by forcing Gouled to consent to such. Unfortunately, FRUD did little to administer the territories which it controlled.</w:t>
      </w:r>
    </w:p>
    <w:p w:rsidR="00C318E3" w:rsidRPr="00F62BA4" w:rsidRDefault="002A190F" w:rsidP="006D0328">
      <w:pPr>
        <w:rPr>
          <w:rFonts w:ascii="Times New Roman" w:hAnsi="Times New Roman" w:cs="Times New Roman"/>
          <w:sz w:val="24"/>
          <w:szCs w:val="24"/>
        </w:rPr>
      </w:pPr>
      <w:r w:rsidRPr="00F62BA4">
        <w:rPr>
          <w:rFonts w:ascii="Times New Roman" w:hAnsi="Times New Roman" w:cs="Times New Roman"/>
          <w:sz w:val="24"/>
          <w:szCs w:val="24"/>
        </w:rPr>
        <w:tab/>
        <w:t>FRUD’s leadership had not planned on serving as rulers—at least not until the government was toppled, anyway.</w:t>
      </w:r>
      <w:r w:rsidRPr="00F62BA4">
        <w:rPr>
          <w:rStyle w:val="FootnoteReference"/>
          <w:rFonts w:ascii="Times New Roman" w:hAnsi="Times New Roman" w:cs="Times New Roman"/>
          <w:sz w:val="24"/>
          <w:szCs w:val="24"/>
        </w:rPr>
        <w:footnoteReference w:id="165"/>
      </w:r>
      <w:r w:rsidR="00DC7629" w:rsidRPr="00F62BA4">
        <w:rPr>
          <w:rFonts w:ascii="Times New Roman" w:hAnsi="Times New Roman" w:cs="Times New Roman"/>
          <w:sz w:val="24"/>
          <w:szCs w:val="24"/>
        </w:rPr>
        <w:t xml:space="preserve"> It was only after the group had made substantial territorial gains that the group’s military leaders even broached the subject. While the group transitioned into a political party after the conflict ended, there is little evidence that any effort was made to begin to administer their territory. Worse, the transition from military force to political party did not lead to Djiboutians enjoying the goods of good governance after the conflict, either. For example, e</w:t>
      </w:r>
      <w:r w:rsidR="00C318E3" w:rsidRPr="00F62BA4">
        <w:rPr>
          <w:rFonts w:ascii="Times New Roman" w:hAnsi="Times New Roman" w:cs="Times New Roman"/>
          <w:sz w:val="24"/>
          <w:szCs w:val="24"/>
        </w:rPr>
        <w:t>ducation</w:t>
      </w:r>
      <w:r w:rsidR="00DC7629" w:rsidRPr="00F62BA4">
        <w:rPr>
          <w:rFonts w:ascii="Times New Roman" w:hAnsi="Times New Roman" w:cs="Times New Roman"/>
          <w:sz w:val="24"/>
          <w:szCs w:val="24"/>
        </w:rPr>
        <w:t xml:space="preserve"> provision </w:t>
      </w:r>
      <w:r w:rsidR="00C318E3" w:rsidRPr="00F62BA4">
        <w:rPr>
          <w:rFonts w:ascii="Times New Roman" w:hAnsi="Times New Roman" w:cs="Times New Roman"/>
          <w:sz w:val="24"/>
          <w:szCs w:val="24"/>
        </w:rPr>
        <w:t xml:space="preserve">is </w:t>
      </w:r>
      <w:r w:rsidR="00DC7629" w:rsidRPr="00F62BA4">
        <w:rPr>
          <w:rFonts w:ascii="Times New Roman" w:hAnsi="Times New Roman" w:cs="Times New Roman"/>
          <w:sz w:val="24"/>
          <w:szCs w:val="24"/>
        </w:rPr>
        <w:t>particularly pitiful—but by no means unique.</w:t>
      </w:r>
      <w:r w:rsidR="00C318E3" w:rsidRPr="00F62BA4">
        <w:rPr>
          <w:rStyle w:val="FootnoteReference"/>
          <w:rFonts w:ascii="Times New Roman" w:hAnsi="Times New Roman" w:cs="Times New Roman"/>
          <w:sz w:val="24"/>
          <w:szCs w:val="24"/>
        </w:rPr>
        <w:footnoteReference w:id="166"/>
      </w:r>
    </w:p>
    <w:p w:rsidR="006D0328"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t>El Salvador</w:t>
      </w:r>
      <w:r w:rsidR="004D11D2" w:rsidRPr="00F62BA4">
        <w:rPr>
          <w:rFonts w:ascii="Times New Roman" w:hAnsi="Times New Roman" w:cs="Times New Roman"/>
          <w:b/>
          <w:sz w:val="24"/>
          <w:szCs w:val="24"/>
        </w:rPr>
        <w:t xml:space="preserve"> (1979-1992)</w:t>
      </w:r>
    </w:p>
    <w:p w:rsidR="00D42950" w:rsidRPr="00F62BA4" w:rsidRDefault="00D42950" w:rsidP="006D0328">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Incumbents</w:t>
      </w:r>
      <w:r w:rsidRPr="00F62BA4">
        <w:rPr>
          <w:rFonts w:ascii="Times New Roman" w:hAnsi="Times New Roman" w:cs="Times New Roman"/>
          <w:sz w:val="24"/>
          <w:szCs w:val="24"/>
        </w:rPr>
        <w:t>: FMLN</w:t>
      </w:r>
      <w:r w:rsidR="0093439C" w:rsidRPr="00F62BA4">
        <w:rPr>
          <w:rFonts w:ascii="Times New Roman" w:hAnsi="Times New Roman" w:cs="Times New Roman"/>
          <w:sz w:val="24"/>
          <w:szCs w:val="24"/>
        </w:rPr>
        <w:t>/Salvadoran Government</w:t>
      </w:r>
    </w:p>
    <w:p w:rsidR="00D42950" w:rsidRPr="00F62BA4"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D42950" w:rsidRPr="00F62BA4">
        <w:rPr>
          <w:rFonts w:ascii="Times New Roman" w:hAnsi="Times New Roman" w:cs="Times New Roman"/>
          <w:b/>
          <w:sz w:val="24"/>
          <w:szCs w:val="24"/>
        </w:rPr>
        <w:t xml:space="preserve">: 2; Public Goods: 1; </w:t>
      </w:r>
      <w:r>
        <w:rPr>
          <w:rFonts w:ascii="Times New Roman" w:hAnsi="Times New Roman" w:cs="Times New Roman"/>
          <w:b/>
          <w:sz w:val="24"/>
          <w:szCs w:val="24"/>
        </w:rPr>
        <w:t>Consultative instruments</w:t>
      </w:r>
      <w:r w:rsidR="00D42950" w:rsidRPr="00F62BA4">
        <w:rPr>
          <w:rFonts w:ascii="Times New Roman" w:hAnsi="Times New Roman" w:cs="Times New Roman"/>
          <w:b/>
          <w:sz w:val="24"/>
          <w:szCs w:val="24"/>
        </w:rPr>
        <w:t>: 2</w:t>
      </w:r>
    </w:p>
    <w:p w:rsidR="00AA00BE" w:rsidRPr="00AA00BE" w:rsidRDefault="00AA00BE" w:rsidP="006D0328">
      <w:pPr>
        <w:rPr>
          <w:rFonts w:ascii="Times New Roman" w:hAnsi="Times New Roman" w:cs="Times New Roman"/>
          <w:sz w:val="24"/>
          <w:szCs w:val="24"/>
        </w:rPr>
      </w:pPr>
      <w:r>
        <w:rPr>
          <w:rFonts w:ascii="Times New Roman" w:hAnsi="Times New Roman" w:cs="Times New Roman"/>
          <w:sz w:val="24"/>
          <w:szCs w:val="24"/>
        </w:rPr>
        <w:t>See Case Study Chapter</w:t>
      </w:r>
    </w:p>
    <w:p w:rsidR="00DE6C08" w:rsidRPr="00F62BA4" w:rsidRDefault="00DE6C08" w:rsidP="006D0328">
      <w:pPr>
        <w:rPr>
          <w:rFonts w:ascii="Times New Roman" w:hAnsi="Times New Roman" w:cs="Times New Roman"/>
          <w:b/>
          <w:sz w:val="24"/>
          <w:szCs w:val="24"/>
        </w:rPr>
      </w:pPr>
      <w:r w:rsidRPr="00F62BA4">
        <w:rPr>
          <w:rFonts w:ascii="Times New Roman" w:hAnsi="Times New Roman" w:cs="Times New Roman"/>
          <w:b/>
          <w:sz w:val="24"/>
          <w:szCs w:val="24"/>
        </w:rPr>
        <w:t>Ethiopia (1974-1991)</w:t>
      </w:r>
    </w:p>
    <w:p w:rsidR="00DE6C08" w:rsidRPr="00F62BA4" w:rsidRDefault="00DE6C08" w:rsidP="006D0328">
      <w:pPr>
        <w:rPr>
          <w:rFonts w:ascii="Times New Roman" w:hAnsi="Times New Roman" w:cs="Times New Roman"/>
          <w:sz w:val="24"/>
          <w:szCs w:val="24"/>
        </w:rPr>
      </w:pPr>
      <w:r w:rsidRPr="00F62BA4">
        <w:rPr>
          <w:rFonts w:ascii="Times New Roman" w:hAnsi="Times New Roman" w:cs="Times New Roman"/>
          <w:sz w:val="24"/>
          <w:szCs w:val="24"/>
        </w:rPr>
        <w:t>Rebels / Incumbents: Eritrean People’s Liberation Front (EPLF) / The Derg</w:t>
      </w:r>
    </w:p>
    <w:p w:rsidR="00DE6C08" w:rsidRPr="00F62BA4" w:rsidRDefault="005B1032" w:rsidP="00DE6C08">
      <w:pPr>
        <w:rPr>
          <w:rFonts w:ascii="Times New Roman" w:hAnsi="Times New Roman" w:cs="Times New Roman"/>
          <w:b/>
          <w:sz w:val="24"/>
          <w:szCs w:val="24"/>
        </w:rPr>
      </w:pPr>
      <w:r>
        <w:rPr>
          <w:rFonts w:ascii="Times New Roman" w:hAnsi="Times New Roman" w:cs="Times New Roman"/>
          <w:b/>
          <w:sz w:val="24"/>
          <w:szCs w:val="24"/>
        </w:rPr>
        <w:t>Policing/juridical</w:t>
      </w:r>
      <w:r w:rsidR="00427A5B" w:rsidRPr="00F62BA4">
        <w:rPr>
          <w:rFonts w:ascii="Times New Roman" w:hAnsi="Times New Roman" w:cs="Times New Roman"/>
          <w:b/>
          <w:sz w:val="24"/>
          <w:szCs w:val="24"/>
        </w:rPr>
        <w:t xml:space="preserve">: </w:t>
      </w:r>
      <w:r w:rsidR="00572256" w:rsidRPr="00F62BA4">
        <w:rPr>
          <w:rFonts w:ascii="Times New Roman" w:hAnsi="Times New Roman" w:cs="Times New Roman"/>
          <w:b/>
          <w:sz w:val="24"/>
          <w:szCs w:val="24"/>
        </w:rPr>
        <w:t>2</w:t>
      </w:r>
      <w:r w:rsidR="00DE6C08" w:rsidRPr="00F62BA4">
        <w:rPr>
          <w:rFonts w:ascii="Times New Roman" w:hAnsi="Times New Roman" w:cs="Times New Roman"/>
          <w:b/>
          <w:sz w:val="24"/>
          <w:szCs w:val="24"/>
        </w:rPr>
        <w:t>; Public Good</w:t>
      </w:r>
      <w:r w:rsidR="001D3197" w:rsidRPr="00F62BA4">
        <w:rPr>
          <w:rFonts w:ascii="Times New Roman" w:hAnsi="Times New Roman" w:cs="Times New Roman"/>
          <w:b/>
          <w:sz w:val="24"/>
          <w:szCs w:val="24"/>
        </w:rPr>
        <w:t xml:space="preserve">s: 2; </w:t>
      </w:r>
      <w:r>
        <w:rPr>
          <w:rFonts w:ascii="Times New Roman" w:hAnsi="Times New Roman" w:cs="Times New Roman"/>
          <w:b/>
          <w:sz w:val="24"/>
          <w:szCs w:val="24"/>
        </w:rPr>
        <w:t>Consultative instruments</w:t>
      </w:r>
      <w:r w:rsidR="001D3197" w:rsidRPr="00F62BA4">
        <w:rPr>
          <w:rFonts w:ascii="Times New Roman" w:hAnsi="Times New Roman" w:cs="Times New Roman"/>
          <w:b/>
          <w:sz w:val="24"/>
          <w:szCs w:val="24"/>
        </w:rPr>
        <w:t xml:space="preserve">: </w:t>
      </w:r>
      <w:r w:rsidR="00DE6C08" w:rsidRPr="00F62BA4">
        <w:rPr>
          <w:rFonts w:ascii="Times New Roman" w:hAnsi="Times New Roman" w:cs="Times New Roman"/>
          <w:b/>
          <w:sz w:val="24"/>
          <w:szCs w:val="24"/>
        </w:rPr>
        <w:t>2</w:t>
      </w:r>
    </w:p>
    <w:p w:rsidR="00755F3F" w:rsidRPr="00F62BA4" w:rsidRDefault="00755F3F" w:rsidP="006D0328">
      <w:pPr>
        <w:rPr>
          <w:rFonts w:ascii="Times New Roman" w:hAnsi="Times New Roman" w:cs="Times New Roman"/>
          <w:sz w:val="24"/>
          <w:szCs w:val="24"/>
        </w:rPr>
      </w:pPr>
      <w:r w:rsidRPr="00F62BA4">
        <w:rPr>
          <w:rFonts w:ascii="Times New Roman" w:hAnsi="Times New Roman" w:cs="Times New Roman"/>
          <w:b/>
          <w:sz w:val="24"/>
          <w:szCs w:val="24"/>
        </w:rPr>
        <w:tab/>
      </w:r>
      <w:r w:rsidRPr="00F62BA4">
        <w:rPr>
          <w:rFonts w:ascii="Times New Roman" w:hAnsi="Times New Roman" w:cs="Times New Roman"/>
          <w:sz w:val="24"/>
          <w:szCs w:val="24"/>
        </w:rPr>
        <w:t>Two of</w:t>
      </w:r>
      <w:r w:rsidRPr="00F62BA4">
        <w:rPr>
          <w:rFonts w:ascii="Times New Roman" w:hAnsi="Times New Roman" w:cs="Times New Roman"/>
          <w:b/>
          <w:sz w:val="24"/>
          <w:szCs w:val="24"/>
        </w:rPr>
        <w:t xml:space="preserve"> </w:t>
      </w:r>
      <w:r w:rsidRPr="00F62BA4">
        <w:rPr>
          <w:rFonts w:ascii="Times New Roman" w:hAnsi="Times New Roman" w:cs="Times New Roman"/>
          <w:sz w:val="24"/>
          <w:szCs w:val="24"/>
        </w:rPr>
        <w:t xml:space="preserve">Ethiopia’s concomitant civil wars began with the ousting (and eventual coup d’état) of Emperor Haile Selassie by the emergent Derg, even as their causes exist independent </w:t>
      </w:r>
      <w:r w:rsidRPr="00F62BA4">
        <w:rPr>
          <w:rFonts w:ascii="Times New Roman" w:hAnsi="Times New Roman" w:cs="Times New Roman"/>
          <w:sz w:val="24"/>
          <w:szCs w:val="24"/>
        </w:rPr>
        <w:lastRenderedPageBreak/>
        <w:t xml:space="preserve">of this cataclysm. In this case, the cause was Eritrean Independence—something which Ethiopia’s new rulers were in no mood to entertain. Although Selassie had also taken steps to undermine Eritrean autonomy, it was clear that </w:t>
      </w:r>
      <w:r w:rsidR="001E35FE" w:rsidRPr="00F62BA4">
        <w:rPr>
          <w:rFonts w:ascii="Times New Roman" w:hAnsi="Times New Roman" w:cs="Times New Roman"/>
          <w:sz w:val="24"/>
          <w:szCs w:val="24"/>
        </w:rPr>
        <w:t>the “confederal” relationship that had existed from 1950 into the 1960’s was not to be had under the Derg.</w:t>
      </w:r>
      <w:r w:rsidR="001E35FE" w:rsidRPr="00F62BA4">
        <w:rPr>
          <w:rStyle w:val="FootnoteReference"/>
          <w:rFonts w:ascii="Times New Roman" w:hAnsi="Times New Roman" w:cs="Times New Roman"/>
          <w:sz w:val="24"/>
          <w:szCs w:val="24"/>
        </w:rPr>
        <w:footnoteReference w:id="167"/>
      </w:r>
    </w:p>
    <w:p w:rsidR="00F464A1" w:rsidRPr="00F62BA4" w:rsidRDefault="00F464A1" w:rsidP="006D0328">
      <w:pPr>
        <w:rPr>
          <w:rFonts w:ascii="Times New Roman" w:hAnsi="Times New Roman" w:cs="Times New Roman"/>
          <w:sz w:val="24"/>
          <w:szCs w:val="24"/>
        </w:rPr>
      </w:pPr>
      <w:r w:rsidRPr="00F62BA4">
        <w:rPr>
          <w:rFonts w:ascii="Times New Roman" w:hAnsi="Times New Roman" w:cs="Times New Roman"/>
          <w:sz w:val="24"/>
          <w:szCs w:val="24"/>
        </w:rPr>
        <w:tab/>
        <w:t>The EPLF was not the only Eritrean group fighting the Derg; indeed, it was not even the first. The Eritrean Liberation Front</w:t>
      </w:r>
      <w:r w:rsidR="00B0305B" w:rsidRPr="00F62BA4">
        <w:rPr>
          <w:rFonts w:ascii="Times New Roman" w:hAnsi="Times New Roman" w:cs="Times New Roman"/>
          <w:sz w:val="24"/>
          <w:szCs w:val="24"/>
        </w:rPr>
        <w:t xml:space="preserve"> differed dramatically from its similarly named counterpart in ideology: the ELF was conservative and Islamic; the latter was Marxist-Leninist and uninterested in religion.</w:t>
      </w:r>
      <w:r w:rsidR="00B0305B" w:rsidRPr="00F62BA4">
        <w:rPr>
          <w:rStyle w:val="FootnoteReference"/>
          <w:rFonts w:ascii="Times New Roman" w:hAnsi="Times New Roman" w:cs="Times New Roman"/>
          <w:sz w:val="24"/>
          <w:szCs w:val="24"/>
        </w:rPr>
        <w:footnoteReference w:id="168"/>
      </w:r>
      <w:r w:rsidR="00AF2C90" w:rsidRPr="00F62BA4">
        <w:rPr>
          <w:rFonts w:ascii="Times New Roman" w:hAnsi="Times New Roman" w:cs="Times New Roman"/>
          <w:sz w:val="24"/>
          <w:szCs w:val="24"/>
        </w:rPr>
        <w:t xml:space="preserve"> By 1980, the EPLF was, for all intents and purposes, uncontested in its claim to represent Eritrean independence as an interest.</w:t>
      </w:r>
      <w:r w:rsidR="00AF2C90" w:rsidRPr="00F62BA4">
        <w:rPr>
          <w:rStyle w:val="FootnoteReference"/>
          <w:rFonts w:ascii="Times New Roman" w:hAnsi="Times New Roman" w:cs="Times New Roman"/>
          <w:sz w:val="24"/>
          <w:szCs w:val="24"/>
        </w:rPr>
        <w:footnoteReference w:id="169"/>
      </w:r>
    </w:p>
    <w:p w:rsidR="00B0305B" w:rsidRPr="00F62BA4" w:rsidRDefault="00270B6A" w:rsidP="006D0328">
      <w:pPr>
        <w:rPr>
          <w:rFonts w:ascii="Times New Roman" w:hAnsi="Times New Roman" w:cs="Times New Roman"/>
          <w:sz w:val="24"/>
          <w:szCs w:val="24"/>
        </w:rPr>
      </w:pPr>
      <w:r w:rsidRPr="00F62BA4">
        <w:rPr>
          <w:rFonts w:ascii="Times New Roman" w:hAnsi="Times New Roman" w:cs="Times New Roman"/>
          <w:sz w:val="24"/>
          <w:szCs w:val="24"/>
        </w:rPr>
        <w:tab/>
        <w:t>In spite of a lack of outside inputs, the EPLF was generally successful in its aim to provide public goods.</w:t>
      </w:r>
      <w:r w:rsidRPr="00F62BA4">
        <w:rPr>
          <w:rStyle w:val="FootnoteReference"/>
          <w:rFonts w:ascii="Times New Roman" w:hAnsi="Times New Roman" w:cs="Times New Roman"/>
          <w:sz w:val="24"/>
          <w:szCs w:val="24"/>
        </w:rPr>
        <w:footnoteReference w:id="170"/>
      </w:r>
      <w:r w:rsidR="00376DCF" w:rsidRPr="00F62BA4">
        <w:rPr>
          <w:rFonts w:ascii="Times New Roman" w:hAnsi="Times New Roman" w:cs="Times New Roman"/>
          <w:sz w:val="24"/>
          <w:szCs w:val="24"/>
        </w:rPr>
        <w:t xml:space="preserve"> Their success on the front of healthcare was especially noteworthy given the lack of resources, but substantial gains were made regardless. The EPLF dispatched workers to remote locations to help treat maladies, but their primary aim was educational—they taught midwives as well as preventative and curative medicine in remote villages. In a country where substantial portions of the population may not have access to hospitals, this was a major landmark.</w:t>
      </w:r>
    </w:p>
    <w:p w:rsidR="00B0305B" w:rsidRPr="00F62BA4" w:rsidRDefault="00B0305B" w:rsidP="006D0328">
      <w:pPr>
        <w:rPr>
          <w:rFonts w:ascii="Times New Roman" w:hAnsi="Times New Roman" w:cs="Times New Roman"/>
          <w:sz w:val="24"/>
          <w:szCs w:val="24"/>
        </w:rPr>
      </w:pPr>
      <w:r w:rsidRPr="00F62BA4">
        <w:rPr>
          <w:rFonts w:ascii="Times New Roman" w:hAnsi="Times New Roman" w:cs="Times New Roman"/>
          <w:sz w:val="24"/>
          <w:szCs w:val="24"/>
        </w:rPr>
        <w:tab/>
        <w:t>The EPLF was</w:t>
      </w:r>
      <w:r w:rsidR="00376DCF" w:rsidRPr="00F62BA4">
        <w:rPr>
          <w:rFonts w:ascii="Times New Roman" w:hAnsi="Times New Roman" w:cs="Times New Roman"/>
          <w:sz w:val="24"/>
          <w:szCs w:val="24"/>
        </w:rPr>
        <w:t xml:space="preserve"> also</w:t>
      </w:r>
      <w:r w:rsidRPr="00F62BA4">
        <w:rPr>
          <w:rFonts w:ascii="Times New Roman" w:hAnsi="Times New Roman" w:cs="Times New Roman"/>
          <w:sz w:val="24"/>
          <w:szCs w:val="24"/>
        </w:rPr>
        <w:t xml:space="preserve"> deeply invested in the project of popular education, and aimed to provide it for as large a portion of its controlled territory as possible.</w:t>
      </w:r>
      <w:r w:rsidRPr="00F62BA4">
        <w:rPr>
          <w:rStyle w:val="FootnoteReference"/>
          <w:rFonts w:ascii="Times New Roman" w:hAnsi="Times New Roman" w:cs="Times New Roman"/>
          <w:sz w:val="24"/>
          <w:szCs w:val="24"/>
        </w:rPr>
        <w:footnoteReference w:id="171"/>
      </w:r>
      <w:r w:rsidR="003505BA" w:rsidRPr="00F62BA4">
        <w:rPr>
          <w:rFonts w:ascii="Times New Roman" w:hAnsi="Times New Roman" w:cs="Times New Roman"/>
          <w:sz w:val="24"/>
          <w:szCs w:val="24"/>
        </w:rPr>
        <w:t xml:space="preserve"> This manifested itself in the provision of primary education for Eritreans,</w:t>
      </w:r>
      <w:r w:rsidR="003505BA" w:rsidRPr="00F62BA4">
        <w:rPr>
          <w:rStyle w:val="FootnoteReference"/>
          <w:rFonts w:ascii="Times New Roman" w:hAnsi="Times New Roman" w:cs="Times New Roman"/>
          <w:sz w:val="24"/>
          <w:szCs w:val="24"/>
        </w:rPr>
        <w:footnoteReference w:id="172"/>
      </w:r>
      <w:r w:rsidR="003505BA" w:rsidRPr="00F62BA4">
        <w:rPr>
          <w:rFonts w:ascii="Times New Roman" w:hAnsi="Times New Roman" w:cs="Times New Roman"/>
          <w:sz w:val="24"/>
          <w:szCs w:val="24"/>
        </w:rPr>
        <w:t xml:space="preserve"> but it was not limited thereto.</w:t>
      </w:r>
      <w:r w:rsidR="00270B6A" w:rsidRPr="00F62BA4">
        <w:rPr>
          <w:rFonts w:ascii="Times New Roman" w:hAnsi="Times New Roman" w:cs="Times New Roman"/>
          <w:sz w:val="24"/>
          <w:szCs w:val="24"/>
        </w:rPr>
        <w:t xml:space="preserve"> The group invested substantial resources into doctrinal education as well.</w:t>
      </w:r>
      <w:r w:rsidR="00270B6A" w:rsidRPr="00F62BA4">
        <w:rPr>
          <w:rStyle w:val="FootnoteReference"/>
          <w:rFonts w:ascii="Times New Roman" w:hAnsi="Times New Roman" w:cs="Times New Roman"/>
          <w:sz w:val="24"/>
          <w:szCs w:val="24"/>
        </w:rPr>
        <w:footnoteReference w:id="173"/>
      </w:r>
      <w:r w:rsidR="00376DCF" w:rsidRPr="00F62BA4">
        <w:rPr>
          <w:rFonts w:ascii="Times New Roman" w:hAnsi="Times New Roman" w:cs="Times New Roman"/>
          <w:sz w:val="24"/>
          <w:szCs w:val="24"/>
        </w:rPr>
        <w:t xml:space="preserve"> In order to ensure that the population </w:t>
      </w:r>
      <w:r w:rsidR="00F67DDC" w:rsidRPr="00F62BA4">
        <w:rPr>
          <w:rFonts w:ascii="Times New Roman" w:hAnsi="Times New Roman" w:cs="Times New Roman"/>
          <w:sz w:val="24"/>
          <w:szCs w:val="24"/>
        </w:rPr>
        <w:t>understood and accepted their political agenda, they trained scores of political organizers at cadre schools.</w:t>
      </w:r>
    </w:p>
    <w:p w:rsidR="003505BA" w:rsidRPr="00F62BA4" w:rsidRDefault="003505BA" w:rsidP="003505BA">
      <w:pPr>
        <w:ind w:firstLine="720"/>
        <w:rPr>
          <w:rFonts w:ascii="Times New Roman" w:hAnsi="Times New Roman" w:cs="Times New Roman"/>
          <w:sz w:val="24"/>
          <w:szCs w:val="24"/>
        </w:rPr>
      </w:pPr>
      <w:r w:rsidRPr="00F62BA4">
        <w:rPr>
          <w:rFonts w:ascii="Times New Roman" w:hAnsi="Times New Roman" w:cs="Times New Roman"/>
          <w:sz w:val="24"/>
          <w:szCs w:val="24"/>
        </w:rPr>
        <w:t>It is perhaps unsurprising given how EPLF education manifested itself, but the rebel group relied heavily on its supporters, even as it demanded complete and absolute obedience to their cause.</w:t>
      </w:r>
      <w:r w:rsidRPr="00F62BA4">
        <w:rPr>
          <w:rStyle w:val="FootnoteReference"/>
          <w:rFonts w:ascii="Times New Roman" w:hAnsi="Times New Roman" w:cs="Times New Roman"/>
          <w:sz w:val="24"/>
          <w:szCs w:val="24"/>
        </w:rPr>
        <w:footnoteReference w:id="174"/>
      </w:r>
      <w:r w:rsidR="00F67DDC" w:rsidRPr="00F62BA4">
        <w:rPr>
          <w:rFonts w:ascii="Times New Roman" w:hAnsi="Times New Roman" w:cs="Times New Roman"/>
          <w:sz w:val="24"/>
          <w:szCs w:val="24"/>
        </w:rPr>
        <w:t xml:space="preserve"> On one hand, there was a great deal of interactivity between the average </w:t>
      </w:r>
      <w:r w:rsidR="00021B4A" w:rsidRPr="00F62BA4">
        <w:rPr>
          <w:rFonts w:ascii="Times New Roman" w:hAnsi="Times New Roman" w:cs="Times New Roman"/>
          <w:sz w:val="24"/>
          <w:szCs w:val="24"/>
        </w:rPr>
        <w:t>Eritrean and their wartime government, such as it was, including regular village elections.</w:t>
      </w:r>
      <w:r w:rsidR="00021B4A" w:rsidRPr="00F62BA4">
        <w:rPr>
          <w:rStyle w:val="FootnoteReference"/>
          <w:rFonts w:ascii="Times New Roman" w:hAnsi="Times New Roman" w:cs="Times New Roman"/>
          <w:sz w:val="24"/>
          <w:szCs w:val="24"/>
        </w:rPr>
        <w:footnoteReference w:id="175"/>
      </w:r>
      <w:r w:rsidR="00910007" w:rsidRPr="00F62BA4">
        <w:rPr>
          <w:rFonts w:ascii="Times New Roman" w:hAnsi="Times New Roman" w:cs="Times New Roman"/>
          <w:sz w:val="24"/>
          <w:szCs w:val="24"/>
        </w:rPr>
        <w:t xml:space="preserve"> The degree </w:t>
      </w:r>
      <w:r w:rsidR="00910007" w:rsidRPr="00F62BA4">
        <w:rPr>
          <w:rFonts w:ascii="Times New Roman" w:hAnsi="Times New Roman" w:cs="Times New Roman"/>
          <w:sz w:val="24"/>
          <w:szCs w:val="24"/>
        </w:rPr>
        <w:lastRenderedPageBreak/>
        <w:t>to which the EPLF stressed popular democracy</w:t>
      </w:r>
      <w:r w:rsidR="00910007" w:rsidRPr="00F62BA4">
        <w:rPr>
          <w:rStyle w:val="FootnoteReference"/>
          <w:rFonts w:ascii="Times New Roman" w:hAnsi="Times New Roman" w:cs="Times New Roman"/>
          <w:sz w:val="24"/>
          <w:szCs w:val="24"/>
        </w:rPr>
        <w:footnoteReference w:id="176"/>
      </w:r>
      <w:r w:rsidR="00021B4A" w:rsidRPr="00F62BA4">
        <w:rPr>
          <w:rFonts w:ascii="Times New Roman" w:hAnsi="Times New Roman" w:cs="Times New Roman"/>
          <w:sz w:val="24"/>
          <w:szCs w:val="24"/>
        </w:rPr>
        <w:t xml:space="preserve"> </w:t>
      </w:r>
      <w:r w:rsidR="00910007" w:rsidRPr="00F62BA4">
        <w:rPr>
          <w:rFonts w:ascii="Times New Roman" w:hAnsi="Times New Roman" w:cs="Times New Roman"/>
          <w:sz w:val="24"/>
          <w:szCs w:val="24"/>
        </w:rPr>
        <w:t>contrasts with the way in which dissent was treated. Considering themselves to be the Eritreans’ vanguard, the EPLF dealt with</w:t>
      </w:r>
      <w:r w:rsidR="00021B4A" w:rsidRPr="00F62BA4">
        <w:rPr>
          <w:rFonts w:ascii="Times New Roman" w:hAnsi="Times New Roman" w:cs="Times New Roman"/>
          <w:sz w:val="24"/>
          <w:szCs w:val="24"/>
        </w:rPr>
        <w:t xml:space="preserve"> dissent in a</w:t>
      </w:r>
      <w:r w:rsidR="00910007" w:rsidRPr="00F62BA4">
        <w:rPr>
          <w:rFonts w:ascii="Times New Roman" w:hAnsi="Times New Roman" w:cs="Times New Roman"/>
          <w:sz w:val="24"/>
          <w:szCs w:val="24"/>
        </w:rPr>
        <w:t xml:space="preserve">ny and all forms </w:t>
      </w:r>
      <w:r w:rsidR="00021B4A" w:rsidRPr="00F62BA4">
        <w:rPr>
          <w:rFonts w:ascii="Times New Roman" w:hAnsi="Times New Roman" w:cs="Times New Roman"/>
          <w:sz w:val="24"/>
          <w:szCs w:val="24"/>
        </w:rPr>
        <w:t>quickly and brutally.</w:t>
      </w:r>
      <w:r w:rsidR="00021B4A" w:rsidRPr="00F62BA4">
        <w:rPr>
          <w:rStyle w:val="FootnoteReference"/>
          <w:rFonts w:ascii="Times New Roman" w:hAnsi="Times New Roman" w:cs="Times New Roman"/>
          <w:sz w:val="24"/>
          <w:szCs w:val="24"/>
        </w:rPr>
        <w:footnoteReference w:id="177"/>
      </w:r>
    </w:p>
    <w:p w:rsidR="00167438" w:rsidRPr="00F62BA4" w:rsidRDefault="00167438" w:rsidP="003505BA">
      <w:pPr>
        <w:ind w:firstLine="720"/>
        <w:rPr>
          <w:rFonts w:ascii="Times New Roman" w:hAnsi="Times New Roman" w:cs="Times New Roman"/>
          <w:sz w:val="24"/>
          <w:szCs w:val="24"/>
        </w:rPr>
      </w:pPr>
      <w:r w:rsidRPr="00F62BA4">
        <w:rPr>
          <w:rFonts w:ascii="Times New Roman" w:hAnsi="Times New Roman" w:cs="Times New Roman"/>
          <w:sz w:val="24"/>
          <w:szCs w:val="24"/>
        </w:rPr>
        <w:t xml:space="preserve">The elections themselves were arranged around local organizations known as </w:t>
      </w:r>
      <w:r w:rsidRPr="00F62BA4">
        <w:rPr>
          <w:rFonts w:ascii="Times New Roman" w:hAnsi="Times New Roman" w:cs="Times New Roman"/>
          <w:i/>
          <w:sz w:val="24"/>
          <w:szCs w:val="24"/>
        </w:rPr>
        <w:t>baitos</w:t>
      </w:r>
      <w:r w:rsidRPr="00F62BA4">
        <w:rPr>
          <w:rFonts w:ascii="Times New Roman" w:hAnsi="Times New Roman" w:cs="Times New Roman"/>
          <w:sz w:val="24"/>
          <w:szCs w:val="24"/>
        </w:rPr>
        <w:t>.</w:t>
      </w:r>
      <w:r w:rsidR="00572256" w:rsidRPr="00F62BA4">
        <w:rPr>
          <w:rStyle w:val="FootnoteReference"/>
          <w:rFonts w:ascii="Times New Roman" w:hAnsi="Times New Roman" w:cs="Times New Roman"/>
          <w:sz w:val="24"/>
          <w:szCs w:val="24"/>
        </w:rPr>
        <w:footnoteReference w:id="178"/>
      </w:r>
      <w:r w:rsidR="00572256" w:rsidRPr="00F62BA4">
        <w:rPr>
          <w:rFonts w:ascii="Times New Roman" w:hAnsi="Times New Roman" w:cs="Times New Roman"/>
          <w:sz w:val="24"/>
          <w:szCs w:val="24"/>
        </w:rPr>
        <w:t xml:space="preserve"> These organizations also served as the point where the EPLF interacted with the population of its controlled territory. This included the enforcement of EPLF law. Administrators—who themselves were accountable to both party and populace—could adjudicate disputes and assign punishments in a similar way as a judge might.</w:t>
      </w:r>
    </w:p>
    <w:p w:rsidR="00DE6C08" w:rsidRPr="00F62BA4" w:rsidRDefault="00DE6C08" w:rsidP="006D0328">
      <w:pPr>
        <w:rPr>
          <w:rFonts w:ascii="Times New Roman" w:hAnsi="Times New Roman" w:cs="Times New Roman"/>
          <w:b/>
          <w:sz w:val="24"/>
          <w:szCs w:val="24"/>
        </w:rPr>
      </w:pPr>
      <w:r w:rsidRPr="00F62BA4">
        <w:rPr>
          <w:rFonts w:ascii="Times New Roman" w:hAnsi="Times New Roman" w:cs="Times New Roman"/>
          <w:b/>
          <w:sz w:val="24"/>
          <w:szCs w:val="24"/>
        </w:rPr>
        <w:t>Ethiopia (1974-1991)</w:t>
      </w:r>
    </w:p>
    <w:p w:rsidR="00DE6C08" w:rsidRPr="00F62BA4" w:rsidRDefault="00BB39E8" w:rsidP="00DE6C08">
      <w:pPr>
        <w:rPr>
          <w:rFonts w:ascii="Times New Roman" w:hAnsi="Times New Roman" w:cs="Times New Roman"/>
          <w:sz w:val="24"/>
          <w:szCs w:val="24"/>
        </w:rPr>
      </w:pPr>
      <w:r w:rsidRPr="00F62BA4">
        <w:rPr>
          <w:rFonts w:ascii="Times New Roman" w:hAnsi="Times New Roman" w:cs="Times New Roman"/>
          <w:sz w:val="24"/>
          <w:szCs w:val="24"/>
        </w:rPr>
        <w:t>Rebels / Incumbents: Tigray</w:t>
      </w:r>
      <w:r w:rsidR="00DE6C08" w:rsidRPr="00F62BA4">
        <w:rPr>
          <w:rFonts w:ascii="Times New Roman" w:hAnsi="Times New Roman" w:cs="Times New Roman"/>
          <w:sz w:val="24"/>
          <w:szCs w:val="24"/>
        </w:rPr>
        <w:t xml:space="preserve"> People’s Liberation Front (TPLF) / The Derg</w:t>
      </w:r>
    </w:p>
    <w:p w:rsidR="00DE6C08" w:rsidRPr="00F62BA4" w:rsidRDefault="005B1032" w:rsidP="00DE6C08">
      <w:pPr>
        <w:rPr>
          <w:rFonts w:ascii="Times New Roman" w:hAnsi="Times New Roman" w:cs="Times New Roman"/>
          <w:b/>
          <w:sz w:val="24"/>
          <w:szCs w:val="24"/>
        </w:rPr>
      </w:pPr>
      <w:r>
        <w:rPr>
          <w:rFonts w:ascii="Times New Roman" w:hAnsi="Times New Roman" w:cs="Times New Roman"/>
          <w:b/>
          <w:sz w:val="24"/>
          <w:szCs w:val="24"/>
        </w:rPr>
        <w:t>Policing/juridical</w:t>
      </w:r>
      <w:r w:rsidR="00DE6C08" w:rsidRPr="00F62BA4">
        <w:rPr>
          <w:rFonts w:ascii="Times New Roman" w:hAnsi="Times New Roman" w:cs="Times New Roman"/>
          <w:b/>
          <w:sz w:val="24"/>
          <w:szCs w:val="24"/>
        </w:rPr>
        <w:t xml:space="preserve">: 2; Public Goods: 2; </w:t>
      </w:r>
      <w:r>
        <w:rPr>
          <w:rFonts w:ascii="Times New Roman" w:hAnsi="Times New Roman" w:cs="Times New Roman"/>
          <w:b/>
          <w:sz w:val="24"/>
          <w:szCs w:val="24"/>
        </w:rPr>
        <w:t>Consultative instruments</w:t>
      </w:r>
      <w:r w:rsidR="00DE6C08" w:rsidRPr="00F62BA4">
        <w:rPr>
          <w:rFonts w:ascii="Times New Roman" w:hAnsi="Times New Roman" w:cs="Times New Roman"/>
          <w:b/>
          <w:sz w:val="24"/>
          <w:szCs w:val="24"/>
        </w:rPr>
        <w:t>: 2</w:t>
      </w:r>
    </w:p>
    <w:p w:rsidR="009E78D1" w:rsidRPr="00F62BA4" w:rsidRDefault="00393D92" w:rsidP="009E78D1">
      <w:pPr>
        <w:rPr>
          <w:rFonts w:ascii="Times New Roman" w:hAnsi="Times New Roman" w:cs="Times New Roman"/>
          <w:sz w:val="24"/>
          <w:szCs w:val="24"/>
        </w:rPr>
      </w:pPr>
      <w:r w:rsidRPr="00F62BA4">
        <w:rPr>
          <w:rFonts w:ascii="Times New Roman" w:hAnsi="Times New Roman" w:cs="Times New Roman"/>
          <w:b/>
          <w:sz w:val="24"/>
          <w:szCs w:val="24"/>
        </w:rPr>
        <w:tab/>
      </w:r>
      <w:r w:rsidR="00D67ECD" w:rsidRPr="00F62BA4">
        <w:rPr>
          <w:rFonts w:ascii="Times New Roman" w:hAnsi="Times New Roman" w:cs="Times New Roman"/>
          <w:sz w:val="24"/>
          <w:szCs w:val="24"/>
        </w:rPr>
        <w:t>The TPLF</w:t>
      </w:r>
      <w:r w:rsidR="009E78D1" w:rsidRPr="00F62BA4">
        <w:rPr>
          <w:rFonts w:ascii="Times New Roman" w:hAnsi="Times New Roman" w:cs="Times New Roman"/>
          <w:sz w:val="24"/>
          <w:szCs w:val="24"/>
        </w:rPr>
        <w:t xml:space="preserve"> was born of anti-Derg sentiment in 1974. While initially of little concern, it emerged as both a potent fighting force and as effective governors as the war progressed.</w:t>
      </w:r>
      <w:r w:rsidR="009E78D1" w:rsidRPr="00F62BA4">
        <w:rPr>
          <w:rStyle w:val="FootnoteReference"/>
          <w:rFonts w:ascii="Times New Roman" w:hAnsi="Times New Roman" w:cs="Times New Roman"/>
          <w:sz w:val="24"/>
          <w:szCs w:val="24"/>
        </w:rPr>
        <w:footnoteReference w:id="179"/>
      </w:r>
      <w:r w:rsidR="005332E2" w:rsidRPr="00F62BA4">
        <w:rPr>
          <w:rFonts w:ascii="Times New Roman" w:hAnsi="Times New Roman" w:cs="Times New Roman"/>
          <w:sz w:val="24"/>
          <w:szCs w:val="24"/>
        </w:rPr>
        <w:t xml:space="preserve"> The TPLF was never as ideologically homogenous as its EPLF counterparts, but a philosophy of cooperative engagement informed the group’s activities as rebel rulers.</w:t>
      </w:r>
      <w:r w:rsidR="005332E2" w:rsidRPr="00F62BA4">
        <w:rPr>
          <w:rStyle w:val="FootnoteReference"/>
          <w:rFonts w:ascii="Times New Roman" w:hAnsi="Times New Roman" w:cs="Times New Roman"/>
          <w:sz w:val="24"/>
          <w:szCs w:val="24"/>
        </w:rPr>
        <w:footnoteReference w:id="180"/>
      </w:r>
    </w:p>
    <w:p w:rsidR="007A3895" w:rsidRPr="00F62BA4" w:rsidRDefault="007A3895" w:rsidP="009E78D1">
      <w:pPr>
        <w:rPr>
          <w:rFonts w:ascii="Times New Roman" w:hAnsi="Times New Roman" w:cs="Times New Roman"/>
          <w:sz w:val="24"/>
          <w:szCs w:val="24"/>
        </w:rPr>
      </w:pPr>
      <w:r w:rsidRPr="00F62BA4">
        <w:rPr>
          <w:rFonts w:ascii="Times New Roman" w:hAnsi="Times New Roman" w:cs="Times New Roman"/>
          <w:sz w:val="24"/>
          <w:szCs w:val="24"/>
        </w:rPr>
        <w:tab/>
        <w:t xml:space="preserve">The primary means of delivering the goods of governance were local organizations known as </w:t>
      </w:r>
      <w:r w:rsidRPr="00F62BA4">
        <w:rPr>
          <w:rFonts w:ascii="Times New Roman" w:hAnsi="Times New Roman" w:cs="Times New Roman"/>
          <w:i/>
          <w:sz w:val="24"/>
          <w:szCs w:val="24"/>
        </w:rPr>
        <w:t>baitos</w:t>
      </w:r>
      <w:r w:rsidRPr="00F62BA4">
        <w:rPr>
          <w:rFonts w:ascii="Times New Roman" w:hAnsi="Times New Roman" w:cs="Times New Roman"/>
          <w:sz w:val="24"/>
          <w:szCs w:val="24"/>
        </w:rPr>
        <w:t>. These organizations helped to provide a level of domestic security—no mean feat given the Derg campaigns in Tigray.</w:t>
      </w:r>
      <w:r w:rsidRPr="00F62BA4">
        <w:rPr>
          <w:rStyle w:val="FootnoteReference"/>
          <w:rFonts w:ascii="Times New Roman" w:hAnsi="Times New Roman" w:cs="Times New Roman"/>
          <w:sz w:val="24"/>
          <w:szCs w:val="24"/>
        </w:rPr>
        <w:footnoteReference w:id="181"/>
      </w:r>
      <w:r w:rsidR="00933F08" w:rsidRPr="00F62BA4">
        <w:rPr>
          <w:rFonts w:ascii="Times New Roman" w:hAnsi="Times New Roman" w:cs="Times New Roman"/>
          <w:sz w:val="24"/>
          <w:szCs w:val="24"/>
        </w:rPr>
        <w:t xml:space="preserve"> The localized organs served as a mechanism for confronting grievances as well as adjudicating cases within TPLF controlled territory.</w:t>
      </w:r>
    </w:p>
    <w:p w:rsidR="00933F08" w:rsidRPr="00F62BA4" w:rsidRDefault="008B00DB" w:rsidP="00933F08">
      <w:pPr>
        <w:ind w:firstLine="720"/>
        <w:rPr>
          <w:rFonts w:ascii="Times New Roman" w:hAnsi="Times New Roman" w:cs="Times New Roman"/>
          <w:sz w:val="24"/>
          <w:szCs w:val="24"/>
        </w:rPr>
      </w:pPr>
      <w:r w:rsidRPr="00F62BA4">
        <w:rPr>
          <w:rFonts w:ascii="Times New Roman" w:hAnsi="Times New Roman" w:cs="Times New Roman"/>
          <w:sz w:val="24"/>
          <w:szCs w:val="24"/>
        </w:rPr>
        <w:t>The TPLF was largely successful in providing</w:t>
      </w:r>
      <w:r w:rsidR="00D93E98" w:rsidRPr="00F62BA4">
        <w:rPr>
          <w:rFonts w:ascii="Times New Roman" w:hAnsi="Times New Roman" w:cs="Times New Roman"/>
          <w:sz w:val="24"/>
          <w:szCs w:val="24"/>
        </w:rPr>
        <w:t xml:space="preserve"> public goods. Like the EPLF, they took pains to teach the rural population their ideology</w:t>
      </w:r>
      <w:r w:rsidR="007A3895" w:rsidRPr="00F62BA4">
        <w:rPr>
          <w:rFonts w:ascii="Times New Roman" w:hAnsi="Times New Roman" w:cs="Times New Roman"/>
          <w:sz w:val="24"/>
          <w:szCs w:val="24"/>
        </w:rPr>
        <w:t>.</w:t>
      </w:r>
      <w:r w:rsidR="00D93E98" w:rsidRPr="00F62BA4">
        <w:rPr>
          <w:rStyle w:val="FootnoteReference"/>
          <w:rFonts w:ascii="Times New Roman" w:hAnsi="Times New Roman" w:cs="Times New Roman"/>
          <w:sz w:val="24"/>
          <w:szCs w:val="24"/>
        </w:rPr>
        <w:footnoteReference w:id="182"/>
      </w:r>
      <w:r w:rsidR="007A3895" w:rsidRPr="00F62BA4">
        <w:rPr>
          <w:rFonts w:ascii="Times New Roman" w:hAnsi="Times New Roman" w:cs="Times New Roman"/>
          <w:sz w:val="24"/>
          <w:szCs w:val="24"/>
        </w:rPr>
        <w:t xml:space="preserve"> Indeed, formal education of children would take a backseat to political education or training when material shortages forced baito members to choose between the two, even as both were provided for absent resource shortages.</w:t>
      </w:r>
      <w:r w:rsidR="007A3895" w:rsidRPr="00F62BA4">
        <w:rPr>
          <w:rStyle w:val="FootnoteReference"/>
          <w:rFonts w:ascii="Times New Roman" w:hAnsi="Times New Roman" w:cs="Times New Roman"/>
          <w:sz w:val="24"/>
          <w:szCs w:val="24"/>
        </w:rPr>
        <w:footnoteReference w:id="183"/>
      </w:r>
      <w:r w:rsidR="007A3895" w:rsidRPr="00F62BA4">
        <w:rPr>
          <w:rFonts w:ascii="Times New Roman" w:hAnsi="Times New Roman" w:cs="Times New Roman"/>
          <w:sz w:val="24"/>
          <w:szCs w:val="24"/>
        </w:rPr>
        <w:t xml:space="preserve"> </w:t>
      </w:r>
      <w:r w:rsidR="00D93E98" w:rsidRPr="00F62BA4">
        <w:rPr>
          <w:rFonts w:ascii="Times New Roman" w:hAnsi="Times New Roman" w:cs="Times New Roman"/>
          <w:sz w:val="24"/>
          <w:szCs w:val="24"/>
        </w:rPr>
        <w:t>Similarly, the TPLF was successful in providing healthcare in its controlled territory.</w:t>
      </w:r>
      <w:r w:rsidR="00D93E98" w:rsidRPr="00F62BA4">
        <w:rPr>
          <w:rStyle w:val="FootnoteReference"/>
          <w:rFonts w:ascii="Times New Roman" w:hAnsi="Times New Roman" w:cs="Times New Roman"/>
          <w:sz w:val="24"/>
          <w:szCs w:val="24"/>
        </w:rPr>
        <w:footnoteReference w:id="184"/>
      </w:r>
      <w:r w:rsidR="00D93E98" w:rsidRPr="00F62BA4">
        <w:rPr>
          <w:rFonts w:ascii="Times New Roman" w:hAnsi="Times New Roman" w:cs="Times New Roman"/>
          <w:sz w:val="24"/>
          <w:szCs w:val="24"/>
        </w:rPr>
        <w:t xml:space="preserve"> </w:t>
      </w:r>
      <w:r w:rsidR="00D06516" w:rsidRPr="00F62BA4">
        <w:rPr>
          <w:rFonts w:ascii="Times New Roman" w:hAnsi="Times New Roman" w:cs="Times New Roman"/>
          <w:sz w:val="24"/>
          <w:szCs w:val="24"/>
        </w:rPr>
        <w:t>Just as with the rest of TPLF governance outputs, healthcare was administered from the local baitos.</w:t>
      </w:r>
      <w:r w:rsidR="00D06516" w:rsidRPr="00F62BA4">
        <w:rPr>
          <w:rStyle w:val="FootnoteReference"/>
          <w:rFonts w:ascii="Times New Roman" w:hAnsi="Times New Roman" w:cs="Times New Roman"/>
          <w:sz w:val="24"/>
          <w:szCs w:val="24"/>
        </w:rPr>
        <w:footnoteReference w:id="185"/>
      </w:r>
      <w:r w:rsidR="00933F08" w:rsidRPr="00F62BA4">
        <w:rPr>
          <w:rFonts w:ascii="Times New Roman" w:hAnsi="Times New Roman" w:cs="Times New Roman"/>
          <w:sz w:val="24"/>
          <w:szCs w:val="24"/>
        </w:rPr>
        <w:t xml:space="preserve"> </w:t>
      </w:r>
    </w:p>
    <w:p w:rsidR="00D93E98" w:rsidRPr="00F62BA4" w:rsidRDefault="00D93E98" w:rsidP="00933F08">
      <w:pPr>
        <w:ind w:firstLine="720"/>
        <w:rPr>
          <w:rFonts w:ascii="Times New Roman" w:hAnsi="Times New Roman" w:cs="Times New Roman"/>
          <w:sz w:val="24"/>
          <w:szCs w:val="24"/>
        </w:rPr>
      </w:pPr>
      <w:r w:rsidRPr="00F62BA4">
        <w:rPr>
          <w:rFonts w:ascii="Times New Roman" w:hAnsi="Times New Roman" w:cs="Times New Roman"/>
          <w:sz w:val="24"/>
          <w:szCs w:val="24"/>
        </w:rPr>
        <w:lastRenderedPageBreak/>
        <w:t>Like the EPLF, the TPLF emphasized popular democracy at the village level, employing local</w:t>
      </w:r>
      <w:r w:rsidR="007A3895" w:rsidRPr="00F62BA4">
        <w:rPr>
          <w:rFonts w:ascii="Times New Roman" w:hAnsi="Times New Roman" w:cs="Times New Roman"/>
          <w:sz w:val="24"/>
          <w:szCs w:val="24"/>
        </w:rPr>
        <w:t>ly elected</w:t>
      </w:r>
      <w:r w:rsidRPr="00F62BA4">
        <w:rPr>
          <w:rFonts w:ascii="Times New Roman" w:hAnsi="Times New Roman" w:cs="Times New Roman"/>
          <w:sz w:val="24"/>
          <w:szCs w:val="24"/>
        </w:rPr>
        <w:t xml:space="preserve"> councils </w:t>
      </w:r>
      <w:r w:rsidR="007A3895" w:rsidRPr="00F62BA4">
        <w:rPr>
          <w:rFonts w:ascii="Times New Roman" w:hAnsi="Times New Roman" w:cs="Times New Roman"/>
          <w:sz w:val="24"/>
          <w:szCs w:val="24"/>
        </w:rPr>
        <w:t>in the</w:t>
      </w:r>
      <w:r w:rsidRPr="00F62BA4">
        <w:rPr>
          <w:rFonts w:ascii="Times New Roman" w:hAnsi="Times New Roman" w:cs="Times New Roman"/>
          <w:sz w:val="24"/>
          <w:szCs w:val="24"/>
        </w:rPr>
        <w:t xml:space="preserve"> ba</w:t>
      </w:r>
      <w:r w:rsidR="00AB6A2B" w:rsidRPr="00F62BA4">
        <w:rPr>
          <w:rFonts w:ascii="Times New Roman" w:hAnsi="Times New Roman" w:cs="Times New Roman"/>
          <w:sz w:val="24"/>
          <w:szCs w:val="24"/>
        </w:rPr>
        <w:t>i</w:t>
      </w:r>
      <w:r w:rsidRPr="00F62BA4">
        <w:rPr>
          <w:rFonts w:ascii="Times New Roman" w:hAnsi="Times New Roman" w:cs="Times New Roman"/>
          <w:sz w:val="24"/>
          <w:szCs w:val="24"/>
        </w:rPr>
        <w:t>tos.</w:t>
      </w:r>
      <w:r w:rsidRPr="00F62BA4">
        <w:rPr>
          <w:rStyle w:val="FootnoteReference"/>
          <w:rFonts w:ascii="Times New Roman" w:hAnsi="Times New Roman" w:cs="Times New Roman"/>
          <w:sz w:val="24"/>
          <w:szCs w:val="24"/>
        </w:rPr>
        <w:footnoteReference w:id="186"/>
      </w:r>
      <w:r w:rsidR="00933F08" w:rsidRPr="00F62BA4">
        <w:rPr>
          <w:rFonts w:ascii="Times New Roman" w:hAnsi="Times New Roman" w:cs="Times New Roman"/>
          <w:sz w:val="24"/>
          <w:szCs w:val="24"/>
        </w:rPr>
        <w:t xml:space="preserve"> These councils produced policies that held sway within the localities, even as they differed from village to village. As can be gathered from this fact</w:t>
      </w:r>
      <w:r w:rsidRPr="00F62BA4">
        <w:rPr>
          <w:rFonts w:ascii="Times New Roman" w:hAnsi="Times New Roman" w:cs="Times New Roman"/>
          <w:sz w:val="24"/>
          <w:szCs w:val="24"/>
        </w:rPr>
        <w:t xml:space="preserve"> </w:t>
      </w:r>
      <w:r w:rsidR="00933F08" w:rsidRPr="00F62BA4">
        <w:rPr>
          <w:rFonts w:ascii="Times New Roman" w:hAnsi="Times New Roman" w:cs="Times New Roman"/>
          <w:sz w:val="24"/>
          <w:szCs w:val="24"/>
        </w:rPr>
        <w:t>(and unlike the EPLF),</w:t>
      </w:r>
      <w:r w:rsidRPr="00F62BA4">
        <w:rPr>
          <w:rFonts w:ascii="Times New Roman" w:hAnsi="Times New Roman" w:cs="Times New Roman"/>
          <w:sz w:val="24"/>
          <w:szCs w:val="24"/>
        </w:rPr>
        <w:t xml:space="preserve"> the TPLF appeared to be </w:t>
      </w:r>
      <w:r w:rsidR="00933F08" w:rsidRPr="00F62BA4">
        <w:rPr>
          <w:rFonts w:ascii="Times New Roman" w:hAnsi="Times New Roman" w:cs="Times New Roman"/>
          <w:sz w:val="24"/>
          <w:szCs w:val="24"/>
        </w:rPr>
        <w:t>somewhat</w:t>
      </w:r>
      <w:r w:rsidRPr="00F62BA4">
        <w:rPr>
          <w:rFonts w:ascii="Times New Roman" w:hAnsi="Times New Roman" w:cs="Times New Roman"/>
          <w:sz w:val="24"/>
          <w:szCs w:val="24"/>
        </w:rPr>
        <w:t xml:space="preserve"> tolerant of</w:t>
      </w:r>
      <w:r w:rsidR="00933F08" w:rsidRPr="00F62BA4">
        <w:rPr>
          <w:rFonts w:ascii="Times New Roman" w:hAnsi="Times New Roman" w:cs="Times New Roman"/>
          <w:sz w:val="24"/>
          <w:szCs w:val="24"/>
        </w:rPr>
        <w:t xml:space="preserve"> a degree of</w:t>
      </w:r>
      <w:r w:rsidRPr="00F62BA4">
        <w:rPr>
          <w:rFonts w:ascii="Times New Roman" w:hAnsi="Times New Roman" w:cs="Times New Roman"/>
          <w:sz w:val="24"/>
          <w:szCs w:val="24"/>
        </w:rPr>
        <w:t xml:space="preserve"> ideological dissent.</w:t>
      </w:r>
    </w:p>
    <w:p w:rsidR="00DE6C08" w:rsidRPr="00F62BA4" w:rsidRDefault="00DE6C08" w:rsidP="006D0328">
      <w:pPr>
        <w:rPr>
          <w:rFonts w:ascii="Times New Roman" w:hAnsi="Times New Roman" w:cs="Times New Roman"/>
          <w:b/>
          <w:sz w:val="24"/>
          <w:szCs w:val="24"/>
        </w:rPr>
      </w:pPr>
      <w:r w:rsidRPr="00F62BA4">
        <w:rPr>
          <w:rFonts w:ascii="Times New Roman" w:hAnsi="Times New Roman" w:cs="Times New Roman"/>
          <w:b/>
          <w:sz w:val="24"/>
          <w:szCs w:val="24"/>
        </w:rPr>
        <w:t>Ethiopia (1977-1985)</w:t>
      </w:r>
    </w:p>
    <w:p w:rsidR="00DE6C08" w:rsidRPr="00F62BA4" w:rsidRDefault="00DE6C08" w:rsidP="00DE6C0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07453B" w:rsidRPr="00F62BA4">
        <w:rPr>
          <w:rFonts w:ascii="Times New Roman" w:hAnsi="Times New Roman" w:cs="Times New Roman"/>
          <w:sz w:val="24"/>
          <w:szCs w:val="24"/>
        </w:rPr>
        <w:t>Western Somali</w:t>
      </w:r>
      <w:r w:rsidRPr="00F62BA4">
        <w:rPr>
          <w:rFonts w:ascii="Times New Roman" w:hAnsi="Times New Roman" w:cs="Times New Roman"/>
          <w:sz w:val="24"/>
          <w:szCs w:val="24"/>
        </w:rPr>
        <w:t xml:space="preserve"> Liberation Front (</w:t>
      </w:r>
      <w:r w:rsidR="0007453B" w:rsidRPr="00F62BA4">
        <w:rPr>
          <w:rFonts w:ascii="Times New Roman" w:hAnsi="Times New Roman" w:cs="Times New Roman"/>
          <w:sz w:val="24"/>
          <w:szCs w:val="24"/>
        </w:rPr>
        <w:t>WS</w:t>
      </w:r>
      <w:r w:rsidRPr="00F62BA4">
        <w:rPr>
          <w:rFonts w:ascii="Times New Roman" w:hAnsi="Times New Roman" w:cs="Times New Roman"/>
          <w:sz w:val="24"/>
          <w:szCs w:val="24"/>
        </w:rPr>
        <w:t>LF) / The Derg</w:t>
      </w:r>
    </w:p>
    <w:p w:rsidR="00DE6C08" w:rsidRPr="00F62BA4" w:rsidRDefault="005B1032" w:rsidP="00DE6C08">
      <w:pPr>
        <w:rPr>
          <w:rFonts w:ascii="Times New Roman" w:hAnsi="Times New Roman" w:cs="Times New Roman"/>
          <w:b/>
          <w:sz w:val="24"/>
          <w:szCs w:val="24"/>
        </w:rPr>
      </w:pPr>
      <w:r>
        <w:rPr>
          <w:rFonts w:ascii="Times New Roman" w:hAnsi="Times New Roman" w:cs="Times New Roman"/>
          <w:b/>
          <w:sz w:val="24"/>
          <w:szCs w:val="24"/>
        </w:rPr>
        <w:t>Policing/juridical</w:t>
      </w:r>
      <w:r w:rsidR="00451686"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451686" w:rsidRPr="00F62BA4">
        <w:rPr>
          <w:rFonts w:ascii="Times New Roman" w:hAnsi="Times New Roman" w:cs="Times New Roman"/>
          <w:b/>
          <w:sz w:val="24"/>
          <w:szCs w:val="24"/>
        </w:rPr>
        <w:t>: 0</w:t>
      </w:r>
    </w:p>
    <w:p w:rsidR="00211B66" w:rsidRPr="00F62BA4" w:rsidRDefault="00D21241" w:rsidP="00DE6C08">
      <w:pPr>
        <w:rPr>
          <w:rFonts w:ascii="Times New Roman" w:hAnsi="Times New Roman" w:cs="Times New Roman"/>
          <w:sz w:val="24"/>
          <w:szCs w:val="24"/>
        </w:rPr>
      </w:pPr>
      <w:r w:rsidRPr="00F62BA4">
        <w:rPr>
          <w:rFonts w:ascii="Times New Roman" w:hAnsi="Times New Roman" w:cs="Times New Roman"/>
          <w:sz w:val="24"/>
          <w:szCs w:val="24"/>
        </w:rPr>
        <w:tab/>
        <w:t>Unlike its two more successful counterparts in Eritrea and Tigray, the Western Somali Liberation Front relied extensively on the intervention of foreign patrons. Once these Somali patrons had been routed in 1978, the group ceased to be a going concern.</w:t>
      </w:r>
      <w:r w:rsidRPr="00F62BA4">
        <w:rPr>
          <w:rStyle w:val="FootnoteReference"/>
          <w:rFonts w:ascii="Times New Roman" w:hAnsi="Times New Roman" w:cs="Times New Roman"/>
          <w:sz w:val="24"/>
          <w:szCs w:val="24"/>
        </w:rPr>
        <w:footnoteReference w:id="187"/>
      </w:r>
      <w:r w:rsidRPr="00F62BA4">
        <w:rPr>
          <w:rFonts w:ascii="Times New Roman" w:hAnsi="Times New Roman" w:cs="Times New Roman"/>
          <w:sz w:val="24"/>
          <w:szCs w:val="24"/>
        </w:rPr>
        <w:t xml:space="preserve"> Although it lingered on in one form or another until 1985, the WSLF (and its splinter groups) posed little threat to the incumbent Derg after their 1978 defeat.</w:t>
      </w:r>
      <w:r w:rsidR="00A54ABE" w:rsidRPr="00F62BA4">
        <w:rPr>
          <w:rFonts w:ascii="Times New Roman" w:hAnsi="Times New Roman" w:cs="Times New Roman"/>
          <w:sz w:val="24"/>
          <w:szCs w:val="24"/>
        </w:rPr>
        <w:t xml:space="preserve"> The reason for this was the group’s ties and reliance upon their patron, the Somali state. Once defeated in the field, both rebels and patron suffered a rapid slide to obscurity and an agonizingly slow death.</w:t>
      </w:r>
      <w:r w:rsidR="00A54ABE" w:rsidRPr="00F62BA4">
        <w:rPr>
          <w:rStyle w:val="FootnoteReference"/>
          <w:rFonts w:ascii="Times New Roman" w:hAnsi="Times New Roman" w:cs="Times New Roman"/>
          <w:sz w:val="24"/>
          <w:szCs w:val="24"/>
        </w:rPr>
        <w:footnoteReference w:id="188"/>
      </w:r>
    </w:p>
    <w:p w:rsidR="00451686" w:rsidRPr="00F62BA4" w:rsidRDefault="00451686" w:rsidP="00DE6C08">
      <w:pPr>
        <w:rPr>
          <w:rFonts w:ascii="Times New Roman" w:hAnsi="Times New Roman" w:cs="Times New Roman"/>
          <w:sz w:val="24"/>
          <w:szCs w:val="24"/>
        </w:rPr>
      </w:pPr>
      <w:r w:rsidRPr="00F62BA4">
        <w:rPr>
          <w:rFonts w:ascii="Times New Roman" w:hAnsi="Times New Roman" w:cs="Times New Roman"/>
          <w:sz w:val="24"/>
          <w:szCs w:val="24"/>
        </w:rPr>
        <w:tab/>
        <w:t>Although better organized and more popular than their ideological cousins, the Somali-Abo Liberation Fron (SALF), neither group had anything more than the appearance of autonomy from their Somali patrons.</w:t>
      </w:r>
      <w:r w:rsidRPr="00F62BA4">
        <w:rPr>
          <w:rStyle w:val="FootnoteReference"/>
          <w:rFonts w:ascii="Times New Roman" w:hAnsi="Times New Roman" w:cs="Times New Roman"/>
          <w:sz w:val="24"/>
          <w:szCs w:val="24"/>
        </w:rPr>
        <w:footnoteReference w:id="189"/>
      </w:r>
      <w:r w:rsidR="00AA0E07" w:rsidRPr="00F62BA4">
        <w:rPr>
          <w:rFonts w:ascii="Times New Roman" w:hAnsi="Times New Roman" w:cs="Times New Roman"/>
          <w:sz w:val="24"/>
          <w:szCs w:val="24"/>
        </w:rPr>
        <w:t xml:space="preserve"> Both in terms of their materiel and their organization, the</w:t>
      </w:r>
      <w:r w:rsidR="0096327B" w:rsidRPr="00F62BA4">
        <w:rPr>
          <w:rFonts w:ascii="Times New Roman" w:hAnsi="Times New Roman" w:cs="Times New Roman"/>
          <w:sz w:val="24"/>
          <w:szCs w:val="24"/>
        </w:rPr>
        <w:t xml:space="preserve"> two rebel groups</w:t>
      </w:r>
      <w:r w:rsidR="00AA0E07" w:rsidRPr="00F62BA4">
        <w:rPr>
          <w:rFonts w:ascii="Times New Roman" w:hAnsi="Times New Roman" w:cs="Times New Roman"/>
          <w:sz w:val="24"/>
          <w:szCs w:val="24"/>
        </w:rPr>
        <w:t xml:space="preserve"> were utterly dependent upon Somalia. In part because of this, the group’s part to play in the larger Ethiopian conflict was largely as a guerilla nuisance, lingering on just long enough after Somalia’s defeat to merit a concerted (and ultimately successful) campaign t</w:t>
      </w:r>
      <w:r w:rsidR="0051614A" w:rsidRPr="00F62BA4">
        <w:rPr>
          <w:rFonts w:ascii="Times New Roman" w:hAnsi="Times New Roman" w:cs="Times New Roman"/>
          <w:sz w:val="24"/>
          <w:szCs w:val="24"/>
        </w:rPr>
        <w:t>o snuff them out in 1985</w:t>
      </w:r>
      <w:r w:rsidR="00AA0E07" w:rsidRPr="00F62BA4">
        <w:rPr>
          <w:rFonts w:ascii="Times New Roman" w:hAnsi="Times New Roman" w:cs="Times New Roman"/>
          <w:sz w:val="24"/>
          <w:szCs w:val="24"/>
        </w:rPr>
        <w:t>.</w:t>
      </w:r>
      <w:r w:rsidR="00AA0E07" w:rsidRPr="00F62BA4">
        <w:rPr>
          <w:rStyle w:val="FootnoteReference"/>
          <w:rFonts w:ascii="Times New Roman" w:hAnsi="Times New Roman" w:cs="Times New Roman"/>
          <w:sz w:val="24"/>
          <w:szCs w:val="24"/>
        </w:rPr>
        <w:footnoteReference w:id="190"/>
      </w:r>
      <w:r w:rsidR="0096327B" w:rsidRPr="00F62BA4">
        <w:rPr>
          <w:rFonts w:ascii="Times New Roman" w:hAnsi="Times New Roman" w:cs="Times New Roman"/>
          <w:sz w:val="24"/>
          <w:szCs w:val="24"/>
        </w:rPr>
        <w:t xml:space="preserve"> Other than attempts to undermine Derg administration, these groups did not interact with issues of governance.</w:t>
      </w:r>
    </w:p>
    <w:p w:rsidR="00892C14" w:rsidRPr="00F62BA4" w:rsidRDefault="00892C14" w:rsidP="00DE6C08">
      <w:pPr>
        <w:rPr>
          <w:rFonts w:ascii="Times New Roman" w:hAnsi="Times New Roman" w:cs="Times New Roman"/>
          <w:b/>
          <w:sz w:val="24"/>
          <w:szCs w:val="24"/>
        </w:rPr>
      </w:pPr>
      <w:r w:rsidRPr="00F62BA4">
        <w:rPr>
          <w:rFonts w:ascii="Times New Roman" w:hAnsi="Times New Roman" w:cs="Times New Roman"/>
          <w:b/>
          <w:sz w:val="24"/>
          <w:szCs w:val="24"/>
        </w:rPr>
        <w:t>Georgia – Abkhazia</w:t>
      </w:r>
      <w:r w:rsidR="001E5267" w:rsidRPr="00F62BA4">
        <w:rPr>
          <w:rFonts w:ascii="Times New Roman" w:hAnsi="Times New Roman" w:cs="Times New Roman"/>
          <w:b/>
          <w:sz w:val="24"/>
          <w:szCs w:val="24"/>
        </w:rPr>
        <w:t xml:space="preserve"> (1992-1994)</w:t>
      </w:r>
    </w:p>
    <w:p w:rsidR="00892C14" w:rsidRPr="00F62BA4" w:rsidRDefault="00892C14" w:rsidP="00DE6C0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4551C0" w:rsidRPr="00F62BA4">
        <w:rPr>
          <w:rFonts w:ascii="Times New Roman" w:hAnsi="Times New Roman" w:cs="Times New Roman"/>
          <w:sz w:val="24"/>
          <w:szCs w:val="24"/>
        </w:rPr>
        <w:t>Autonomous Republic of Abkhazia</w:t>
      </w:r>
      <w:r w:rsidR="001E5267" w:rsidRPr="00F62BA4">
        <w:rPr>
          <w:rFonts w:ascii="Times New Roman" w:hAnsi="Times New Roman" w:cs="Times New Roman"/>
          <w:sz w:val="24"/>
          <w:szCs w:val="24"/>
        </w:rPr>
        <w:t xml:space="preserve"> / Georgia</w:t>
      </w:r>
    </w:p>
    <w:p w:rsidR="00892C14" w:rsidRPr="00F62BA4" w:rsidRDefault="005B1032" w:rsidP="00892C14">
      <w:pPr>
        <w:rPr>
          <w:rFonts w:ascii="Times New Roman" w:hAnsi="Times New Roman" w:cs="Times New Roman"/>
          <w:b/>
          <w:sz w:val="24"/>
          <w:szCs w:val="24"/>
        </w:rPr>
      </w:pPr>
      <w:r>
        <w:rPr>
          <w:rFonts w:ascii="Times New Roman" w:hAnsi="Times New Roman" w:cs="Times New Roman"/>
          <w:b/>
          <w:sz w:val="24"/>
          <w:szCs w:val="24"/>
        </w:rPr>
        <w:t>Policing/juridical</w:t>
      </w:r>
      <w:r w:rsidR="004551C0" w:rsidRPr="00F62BA4">
        <w:rPr>
          <w:rFonts w:ascii="Times New Roman" w:hAnsi="Times New Roman" w:cs="Times New Roman"/>
          <w:b/>
          <w:sz w:val="24"/>
          <w:szCs w:val="24"/>
        </w:rPr>
        <w:t xml:space="preserve">: </w:t>
      </w:r>
      <w:r w:rsidR="003A66D2" w:rsidRPr="00F62BA4">
        <w:rPr>
          <w:rFonts w:ascii="Times New Roman" w:hAnsi="Times New Roman" w:cs="Times New Roman"/>
          <w:b/>
          <w:sz w:val="24"/>
          <w:szCs w:val="24"/>
        </w:rPr>
        <w:t>0</w:t>
      </w:r>
      <w:r w:rsidR="004551C0" w:rsidRPr="00F62BA4">
        <w:rPr>
          <w:rFonts w:ascii="Times New Roman" w:hAnsi="Times New Roman" w:cs="Times New Roman"/>
          <w:b/>
          <w:sz w:val="24"/>
          <w:szCs w:val="24"/>
        </w:rPr>
        <w:t xml:space="preserve">; Public Goods: </w:t>
      </w:r>
      <w:r w:rsidR="003A66D2" w:rsidRPr="00F62BA4">
        <w:rPr>
          <w:rFonts w:ascii="Times New Roman" w:hAnsi="Times New Roman" w:cs="Times New Roman"/>
          <w:b/>
          <w:sz w:val="24"/>
          <w:szCs w:val="24"/>
        </w:rPr>
        <w:t>0</w:t>
      </w:r>
      <w:r w:rsidR="004551C0"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4551C0" w:rsidRPr="00F62BA4">
        <w:rPr>
          <w:rFonts w:ascii="Times New Roman" w:hAnsi="Times New Roman" w:cs="Times New Roman"/>
          <w:b/>
          <w:sz w:val="24"/>
          <w:szCs w:val="24"/>
        </w:rPr>
        <w:t xml:space="preserve">: </w:t>
      </w:r>
      <w:r w:rsidR="003A66D2" w:rsidRPr="00F62BA4">
        <w:rPr>
          <w:rFonts w:ascii="Times New Roman" w:hAnsi="Times New Roman" w:cs="Times New Roman"/>
          <w:b/>
          <w:sz w:val="24"/>
          <w:szCs w:val="24"/>
        </w:rPr>
        <w:t>1</w:t>
      </w:r>
    </w:p>
    <w:p w:rsidR="003A66D2" w:rsidRPr="00F62BA4" w:rsidRDefault="003A66D2"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Abkhazia’s war to secure its independence </w:t>
      </w:r>
      <w:r w:rsidR="002F3480" w:rsidRPr="00F62BA4">
        <w:rPr>
          <w:rFonts w:ascii="Times New Roman" w:hAnsi="Times New Roman" w:cs="Times New Roman"/>
          <w:sz w:val="24"/>
          <w:szCs w:val="24"/>
        </w:rPr>
        <w:t>from Georgia began in response to the restoration of Georgia’s 1921 constitution (which stripped the region of its autonomy).</w:t>
      </w:r>
      <w:r w:rsidR="002F3480" w:rsidRPr="00F62BA4">
        <w:rPr>
          <w:rStyle w:val="FootnoteReference"/>
          <w:rFonts w:ascii="Times New Roman" w:hAnsi="Times New Roman" w:cs="Times New Roman"/>
          <w:sz w:val="24"/>
          <w:szCs w:val="24"/>
        </w:rPr>
        <w:footnoteReference w:id="191"/>
      </w:r>
      <w:r w:rsidR="00961A15" w:rsidRPr="00F62BA4">
        <w:rPr>
          <w:rFonts w:ascii="Times New Roman" w:hAnsi="Times New Roman" w:cs="Times New Roman"/>
          <w:sz w:val="24"/>
          <w:szCs w:val="24"/>
        </w:rPr>
        <w:t xml:space="preserve"> Abkhazia was able to secure a cease-fire with the state in late 1993 and end the war entirely by </w:t>
      </w:r>
      <w:r w:rsidR="00961A15" w:rsidRPr="00F62BA4">
        <w:rPr>
          <w:rFonts w:ascii="Times New Roman" w:hAnsi="Times New Roman" w:cs="Times New Roman"/>
          <w:sz w:val="24"/>
          <w:szCs w:val="24"/>
        </w:rPr>
        <w:lastRenderedPageBreak/>
        <w:t>the following spring, consolidating its military victory in the process. Interestingly, in spite of its de facto control of the its eponymous territory, it remains de jure a part of Georgia.</w:t>
      </w:r>
    </w:p>
    <w:p w:rsidR="0022504C" w:rsidRPr="00F62BA4" w:rsidRDefault="00FE3CF3" w:rsidP="00DE6C08">
      <w:pPr>
        <w:rPr>
          <w:rFonts w:ascii="Times New Roman" w:hAnsi="Times New Roman" w:cs="Times New Roman"/>
          <w:sz w:val="24"/>
          <w:szCs w:val="24"/>
        </w:rPr>
      </w:pPr>
      <w:r w:rsidRPr="00F62BA4">
        <w:rPr>
          <w:rFonts w:ascii="Times New Roman" w:hAnsi="Times New Roman" w:cs="Times New Roman"/>
          <w:sz w:val="24"/>
          <w:szCs w:val="24"/>
        </w:rPr>
        <w:tab/>
        <w:t>Abkhazia’s military victory obscures the fact that the would-be state did not establish control over its territory even afterward. For instance, Emzar Kvitsiani maintained a Svan enclave during and after the conflict in the Kodori Gorge region.</w:t>
      </w:r>
      <w:r w:rsidRPr="00F62BA4">
        <w:rPr>
          <w:rStyle w:val="FootnoteReference"/>
          <w:rFonts w:ascii="Times New Roman" w:hAnsi="Times New Roman" w:cs="Times New Roman"/>
          <w:sz w:val="24"/>
          <w:szCs w:val="24"/>
        </w:rPr>
        <w:footnoteReference w:id="192"/>
      </w:r>
      <w:r w:rsidRPr="00F62BA4">
        <w:rPr>
          <w:rFonts w:ascii="Times New Roman" w:hAnsi="Times New Roman" w:cs="Times New Roman"/>
          <w:sz w:val="24"/>
          <w:szCs w:val="24"/>
        </w:rPr>
        <w:t xml:space="preserve"> </w:t>
      </w:r>
      <w:r w:rsidR="003A66D2" w:rsidRPr="00F62BA4">
        <w:rPr>
          <w:rFonts w:ascii="Times New Roman" w:hAnsi="Times New Roman" w:cs="Times New Roman"/>
          <w:sz w:val="24"/>
          <w:szCs w:val="24"/>
        </w:rPr>
        <w:t xml:space="preserve">Even within its controlled territory, though, little in the way of infrastructure survived the conflict—what institutions and competencies exist in Abkhazia have, for the most part, been developed in the </w:t>
      </w:r>
      <w:r w:rsidR="00775F23" w:rsidRPr="00F62BA4">
        <w:rPr>
          <w:rFonts w:ascii="Times New Roman" w:hAnsi="Times New Roman" w:cs="Times New Roman"/>
          <w:sz w:val="24"/>
          <w:szCs w:val="24"/>
        </w:rPr>
        <w:t>time since the war’s end</w:t>
      </w:r>
      <w:r w:rsidR="003A66D2" w:rsidRPr="00F62BA4">
        <w:rPr>
          <w:rFonts w:ascii="Times New Roman" w:hAnsi="Times New Roman" w:cs="Times New Roman"/>
          <w:sz w:val="24"/>
          <w:szCs w:val="24"/>
        </w:rPr>
        <w:t>.</w:t>
      </w:r>
      <w:r w:rsidR="003A66D2" w:rsidRPr="00F62BA4">
        <w:rPr>
          <w:rStyle w:val="FootnoteReference"/>
          <w:rFonts w:ascii="Times New Roman" w:hAnsi="Times New Roman" w:cs="Times New Roman"/>
          <w:sz w:val="24"/>
          <w:szCs w:val="24"/>
        </w:rPr>
        <w:footnoteReference w:id="193"/>
      </w:r>
      <w:r w:rsidR="0080716A" w:rsidRPr="00F62BA4">
        <w:rPr>
          <w:rFonts w:ascii="Times New Roman" w:hAnsi="Times New Roman" w:cs="Times New Roman"/>
          <w:sz w:val="24"/>
          <w:szCs w:val="24"/>
        </w:rPr>
        <w:t xml:space="preserve"> For instance, t</w:t>
      </w:r>
      <w:r w:rsidR="0022504C" w:rsidRPr="00F62BA4">
        <w:rPr>
          <w:rFonts w:ascii="Times New Roman" w:hAnsi="Times New Roman" w:cs="Times New Roman"/>
          <w:sz w:val="24"/>
          <w:szCs w:val="24"/>
        </w:rPr>
        <w:t>he Republic of Abkhazia has made some strides in rebuilding its educational infrastructure, but these strides took place after the war.</w:t>
      </w:r>
      <w:r w:rsidR="0022504C" w:rsidRPr="00F62BA4">
        <w:rPr>
          <w:rStyle w:val="FootnoteReference"/>
          <w:rFonts w:ascii="Times New Roman" w:hAnsi="Times New Roman" w:cs="Times New Roman"/>
          <w:sz w:val="24"/>
          <w:szCs w:val="24"/>
        </w:rPr>
        <w:footnoteReference w:id="194"/>
      </w:r>
      <w:r w:rsidR="0022504C" w:rsidRPr="00F62BA4">
        <w:rPr>
          <w:rFonts w:ascii="Times New Roman" w:hAnsi="Times New Roman" w:cs="Times New Roman"/>
          <w:sz w:val="24"/>
          <w:szCs w:val="24"/>
        </w:rPr>
        <w:t xml:space="preserve"> During the war, most educational facilities in the would-be state were destroyed.</w:t>
      </w:r>
    </w:p>
    <w:p w:rsidR="003B3C74" w:rsidRPr="00F62BA4" w:rsidRDefault="003B3C74"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Although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existed in the form of an Abkhazian parliament (in which the different ethnic groups were guaranteed a certain number of seats), wartime developments of this parliament were scarce. Its formation preceded the beginning of the conflict and its ratification of the fledgling proto-state’s constitution came after the war’s end—each by a matter of months.</w:t>
      </w:r>
      <w:r w:rsidRPr="00F62BA4">
        <w:rPr>
          <w:rStyle w:val="FootnoteReference"/>
          <w:rFonts w:ascii="Times New Roman" w:hAnsi="Times New Roman" w:cs="Times New Roman"/>
          <w:sz w:val="24"/>
          <w:szCs w:val="24"/>
        </w:rPr>
        <w:footnoteReference w:id="195"/>
      </w:r>
      <w:r w:rsidR="00623315" w:rsidRPr="00F62BA4">
        <w:rPr>
          <w:rFonts w:ascii="Times New Roman" w:hAnsi="Times New Roman" w:cs="Times New Roman"/>
          <w:sz w:val="24"/>
          <w:szCs w:val="24"/>
        </w:rPr>
        <w:t xml:space="preserve"> In addition to the relative lack of developments during the war, the would-be state’s parliament is </w:t>
      </w:r>
      <w:r w:rsidR="00697DF9">
        <w:rPr>
          <w:rFonts w:ascii="Times New Roman" w:hAnsi="Times New Roman" w:cs="Times New Roman"/>
          <w:sz w:val="24"/>
          <w:szCs w:val="24"/>
        </w:rPr>
        <w:t>institutionally weak</w:t>
      </w:r>
      <w:r w:rsidR="00623315" w:rsidRPr="00F62BA4">
        <w:rPr>
          <w:rFonts w:ascii="Times New Roman" w:hAnsi="Times New Roman" w:cs="Times New Roman"/>
          <w:sz w:val="24"/>
          <w:szCs w:val="24"/>
        </w:rPr>
        <w:t>, with little ability to check the postwar-created presidency’s allotted powers.</w:t>
      </w:r>
      <w:r w:rsidR="00623315" w:rsidRPr="00F62BA4">
        <w:rPr>
          <w:rStyle w:val="FootnoteReference"/>
          <w:rFonts w:ascii="Times New Roman" w:hAnsi="Times New Roman" w:cs="Times New Roman"/>
          <w:sz w:val="24"/>
          <w:szCs w:val="24"/>
        </w:rPr>
        <w:footnoteReference w:id="196"/>
      </w:r>
      <w:r w:rsidR="00697DF9">
        <w:rPr>
          <w:rFonts w:ascii="Times New Roman" w:hAnsi="Times New Roman" w:cs="Times New Roman"/>
          <w:sz w:val="24"/>
          <w:szCs w:val="24"/>
        </w:rPr>
        <w:t xml:space="preserve"> This is somewhat remarkable given that the rebels’ commandeering of the pre-extant parliament accompanied the acquisition of other state functions, including the police force. However, this police force was immediately pressed into service as soldiers, with the war itself beginning with Abkhaz police officers attacking Georgian forces.</w:t>
      </w:r>
      <w:r w:rsidR="00697DF9">
        <w:rPr>
          <w:rStyle w:val="FootnoteReference"/>
          <w:rFonts w:ascii="Times New Roman" w:hAnsi="Times New Roman" w:cs="Times New Roman"/>
          <w:sz w:val="24"/>
          <w:szCs w:val="24"/>
        </w:rPr>
        <w:footnoteReference w:id="197"/>
      </w:r>
      <w:r w:rsidR="00697DF9">
        <w:rPr>
          <w:rFonts w:ascii="Times New Roman" w:hAnsi="Times New Roman" w:cs="Times New Roman"/>
          <w:sz w:val="24"/>
          <w:szCs w:val="24"/>
        </w:rPr>
        <w:t xml:space="preserve"> As such, the rebels are not coded as providing policing or juridical functions.</w:t>
      </w:r>
    </w:p>
    <w:p w:rsidR="00892C14" w:rsidRPr="00F62BA4" w:rsidRDefault="00892C14" w:rsidP="00892C14">
      <w:pPr>
        <w:rPr>
          <w:rFonts w:ascii="Times New Roman" w:hAnsi="Times New Roman" w:cs="Times New Roman"/>
          <w:b/>
          <w:sz w:val="24"/>
          <w:szCs w:val="24"/>
        </w:rPr>
      </w:pPr>
      <w:r w:rsidRPr="00F62BA4">
        <w:rPr>
          <w:rFonts w:ascii="Times New Roman" w:hAnsi="Times New Roman" w:cs="Times New Roman"/>
          <w:b/>
          <w:sz w:val="24"/>
          <w:szCs w:val="24"/>
        </w:rPr>
        <w:t>Georgia – South Ossetia</w:t>
      </w:r>
      <w:r w:rsidR="001E5267" w:rsidRPr="00F62BA4">
        <w:rPr>
          <w:rFonts w:ascii="Times New Roman" w:hAnsi="Times New Roman" w:cs="Times New Roman"/>
          <w:b/>
          <w:sz w:val="24"/>
          <w:szCs w:val="24"/>
        </w:rPr>
        <w:t xml:space="preserve"> (1991-1992)</w:t>
      </w:r>
    </w:p>
    <w:p w:rsidR="00892C14" w:rsidRPr="00F62BA4" w:rsidRDefault="00892C14" w:rsidP="00DE6C0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4551C0" w:rsidRPr="00F62BA4">
        <w:rPr>
          <w:rFonts w:ascii="Times New Roman" w:hAnsi="Times New Roman" w:cs="Times New Roman"/>
          <w:sz w:val="24"/>
          <w:szCs w:val="24"/>
        </w:rPr>
        <w:t>Republic of South Ossetia / Georgia</w:t>
      </w:r>
    </w:p>
    <w:p w:rsidR="00520923" w:rsidRPr="00F62BA4" w:rsidRDefault="005B1032" w:rsidP="00520923">
      <w:pPr>
        <w:rPr>
          <w:rFonts w:ascii="Times New Roman" w:hAnsi="Times New Roman" w:cs="Times New Roman"/>
          <w:b/>
          <w:sz w:val="24"/>
          <w:szCs w:val="24"/>
        </w:rPr>
      </w:pPr>
      <w:r>
        <w:rPr>
          <w:rFonts w:ascii="Times New Roman" w:hAnsi="Times New Roman" w:cs="Times New Roman"/>
          <w:b/>
          <w:sz w:val="24"/>
          <w:szCs w:val="24"/>
        </w:rPr>
        <w:t>Policing/juridical</w:t>
      </w:r>
      <w:r w:rsidR="00520923"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520923" w:rsidRPr="00F62BA4">
        <w:rPr>
          <w:rFonts w:ascii="Times New Roman" w:hAnsi="Times New Roman" w:cs="Times New Roman"/>
          <w:b/>
          <w:sz w:val="24"/>
          <w:szCs w:val="24"/>
        </w:rPr>
        <w:t>: 1</w:t>
      </w:r>
    </w:p>
    <w:p w:rsidR="00D20EEB" w:rsidRPr="00F62BA4" w:rsidRDefault="00D20EEB"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The </w:t>
      </w:r>
      <w:r w:rsidR="00B83782" w:rsidRPr="00F62BA4">
        <w:rPr>
          <w:rFonts w:ascii="Times New Roman" w:hAnsi="Times New Roman" w:cs="Times New Roman"/>
          <w:sz w:val="24"/>
          <w:szCs w:val="24"/>
        </w:rPr>
        <w:t>secessionist conflict in South Ossetia began just as the Soviet Union collapsed, but tensions between Georgia and the former Oblast had been rising for some time. When Georgia declared its independence, it also revoked South Ossetia’s status as being an autonomous oblast.</w:t>
      </w:r>
      <w:r w:rsidR="00B83782" w:rsidRPr="00F62BA4">
        <w:rPr>
          <w:rStyle w:val="FootnoteReference"/>
          <w:rFonts w:ascii="Times New Roman" w:hAnsi="Times New Roman" w:cs="Times New Roman"/>
          <w:sz w:val="24"/>
          <w:szCs w:val="24"/>
        </w:rPr>
        <w:footnoteReference w:id="198"/>
      </w:r>
      <w:r w:rsidR="00B83782" w:rsidRPr="00F62BA4">
        <w:rPr>
          <w:rFonts w:ascii="Times New Roman" w:hAnsi="Times New Roman" w:cs="Times New Roman"/>
          <w:sz w:val="24"/>
          <w:szCs w:val="24"/>
        </w:rPr>
        <w:t xml:space="preserve"> This appears to have been the raison de guerre. </w:t>
      </w:r>
    </w:p>
    <w:p w:rsidR="004551C0" w:rsidRPr="00F62BA4" w:rsidRDefault="004551C0" w:rsidP="00DE6C08">
      <w:pPr>
        <w:rPr>
          <w:rFonts w:ascii="Times New Roman" w:hAnsi="Times New Roman" w:cs="Times New Roman"/>
          <w:sz w:val="24"/>
          <w:szCs w:val="24"/>
        </w:rPr>
      </w:pPr>
      <w:r w:rsidRPr="00F62BA4">
        <w:rPr>
          <w:rFonts w:ascii="Times New Roman" w:hAnsi="Times New Roman" w:cs="Times New Roman"/>
          <w:sz w:val="24"/>
          <w:szCs w:val="24"/>
        </w:rPr>
        <w:lastRenderedPageBreak/>
        <w:tab/>
      </w:r>
      <w:r w:rsidR="001E5267" w:rsidRPr="00F62BA4">
        <w:rPr>
          <w:rFonts w:ascii="Times New Roman" w:hAnsi="Times New Roman" w:cs="Times New Roman"/>
          <w:sz w:val="24"/>
          <w:szCs w:val="24"/>
        </w:rPr>
        <w:t xml:space="preserve">The appearance of </w:t>
      </w:r>
      <w:r w:rsidR="005B1032">
        <w:rPr>
          <w:rFonts w:ascii="Times New Roman" w:hAnsi="Times New Roman" w:cs="Times New Roman"/>
          <w:sz w:val="24"/>
          <w:szCs w:val="24"/>
        </w:rPr>
        <w:t>consultative instruments</w:t>
      </w:r>
      <w:r w:rsidR="001E5267" w:rsidRPr="00F62BA4">
        <w:rPr>
          <w:rFonts w:ascii="Times New Roman" w:hAnsi="Times New Roman" w:cs="Times New Roman"/>
          <w:sz w:val="24"/>
          <w:szCs w:val="24"/>
        </w:rPr>
        <w:t xml:space="preserve"> took place just prior to the war, with the newly formed South Ossetian Parliament coming into being nearly concomitantly with the war’s initiation.</w:t>
      </w:r>
      <w:r w:rsidR="001E5267" w:rsidRPr="00F62BA4">
        <w:rPr>
          <w:rStyle w:val="FootnoteReference"/>
          <w:rFonts w:ascii="Times New Roman" w:hAnsi="Times New Roman" w:cs="Times New Roman"/>
          <w:sz w:val="24"/>
          <w:szCs w:val="24"/>
        </w:rPr>
        <w:footnoteReference w:id="199"/>
      </w:r>
      <w:r w:rsidR="00F926DB" w:rsidRPr="00F62BA4">
        <w:rPr>
          <w:rFonts w:ascii="Times New Roman" w:hAnsi="Times New Roman" w:cs="Times New Roman"/>
          <w:sz w:val="24"/>
          <w:szCs w:val="24"/>
        </w:rPr>
        <w:t xml:space="preserve"> While this still technically falls outside the bounds of the war itself, the decision of that parliament to adopt a declaration of independence as its founding document weeks before the war’s conclusion counts as a substantial wartime development. In spite of this (and the development of three distinct political parties), South Ossetian civil society struggled to develop under conditions of near-anarchy.</w:t>
      </w:r>
      <w:r w:rsidR="00F926DB" w:rsidRPr="00F62BA4">
        <w:rPr>
          <w:rStyle w:val="FootnoteReference"/>
          <w:rFonts w:ascii="Times New Roman" w:hAnsi="Times New Roman" w:cs="Times New Roman"/>
          <w:sz w:val="24"/>
          <w:szCs w:val="24"/>
        </w:rPr>
        <w:footnoteReference w:id="200"/>
      </w:r>
      <w:r w:rsidR="00D20EEB" w:rsidRPr="00F62BA4">
        <w:rPr>
          <w:rFonts w:ascii="Times New Roman" w:hAnsi="Times New Roman" w:cs="Times New Roman"/>
          <w:sz w:val="24"/>
          <w:szCs w:val="24"/>
        </w:rPr>
        <w:t xml:space="preserve"> However, a referendum was held in January of 1992 to determine whether South Ossetia should join Russia. South Ossetians voted overwhelmingly to leave Georgia (Georgians did not participate in the referendum).</w:t>
      </w:r>
      <w:r w:rsidR="00D20EEB" w:rsidRPr="00F62BA4">
        <w:rPr>
          <w:rStyle w:val="FootnoteReference"/>
          <w:rFonts w:ascii="Times New Roman" w:hAnsi="Times New Roman" w:cs="Times New Roman"/>
          <w:sz w:val="24"/>
          <w:szCs w:val="24"/>
        </w:rPr>
        <w:footnoteReference w:id="201"/>
      </w:r>
      <w:r w:rsidR="00BA4CDF" w:rsidRPr="00F62BA4">
        <w:rPr>
          <w:rFonts w:ascii="Times New Roman" w:hAnsi="Times New Roman" w:cs="Times New Roman"/>
          <w:sz w:val="24"/>
          <w:szCs w:val="24"/>
        </w:rPr>
        <w:t xml:space="preserve"> Another such referendum was held in the months following the cessation of the conflict, and South Ossetia has maintained de facto independence since.</w:t>
      </w:r>
      <w:r w:rsidR="00BA4CDF" w:rsidRPr="00F62BA4">
        <w:rPr>
          <w:rStyle w:val="FootnoteReference"/>
          <w:rFonts w:ascii="Times New Roman" w:hAnsi="Times New Roman" w:cs="Times New Roman"/>
          <w:sz w:val="24"/>
          <w:szCs w:val="24"/>
        </w:rPr>
        <w:footnoteReference w:id="202"/>
      </w:r>
    </w:p>
    <w:p w:rsidR="00BA4CDF" w:rsidRPr="00F62BA4" w:rsidRDefault="00BA4CDF"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Other forms of governance have been a bit scarcer. There was only enough time to organize paramilitary fighters during the conflict, and South Ossetia has continued to </w:t>
      </w:r>
      <w:r w:rsidR="00DF1FFE" w:rsidRPr="00F62BA4">
        <w:rPr>
          <w:rFonts w:ascii="Times New Roman" w:hAnsi="Times New Roman" w:cs="Times New Roman"/>
          <w:sz w:val="24"/>
          <w:szCs w:val="24"/>
        </w:rPr>
        <w:t>lack effective, formal law enforcement organs. Several attempts have been made by foreign groups to produce law and order within the region, with dispiriting results.</w:t>
      </w:r>
      <w:r w:rsidR="00DF1FFE" w:rsidRPr="00F62BA4">
        <w:rPr>
          <w:rStyle w:val="FootnoteReference"/>
          <w:rFonts w:ascii="Times New Roman" w:hAnsi="Times New Roman" w:cs="Times New Roman"/>
          <w:sz w:val="24"/>
          <w:szCs w:val="24"/>
        </w:rPr>
        <w:footnoteReference w:id="203"/>
      </w:r>
      <w:r w:rsidR="00B62241" w:rsidRPr="00F62BA4">
        <w:rPr>
          <w:rFonts w:ascii="Times New Roman" w:hAnsi="Times New Roman" w:cs="Times New Roman"/>
          <w:sz w:val="24"/>
          <w:szCs w:val="24"/>
        </w:rPr>
        <w:t xml:space="preserve"> President Saakashvili attempted to use the provision of healthcare as an olive branch some ten years after the conflict’s ending, but provision before then appears to have been quite poor. Even outside of the breakaway republics, Georgian healthcare </w:t>
      </w:r>
      <w:r w:rsidR="005D64A2" w:rsidRPr="00F62BA4">
        <w:rPr>
          <w:rFonts w:ascii="Times New Roman" w:hAnsi="Times New Roman" w:cs="Times New Roman"/>
          <w:sz w:val="24"/>
          <w:szCs w:val="24"/>
        </w:rPr>
        <w:t xml:space="preserve">provision was in the midst of </w:t>
      </w:r>
      <w:r w:rsidR="00B62241" w:rsidRPr="00F62BA4">
        <w:rPr>
          <w:rFonts w:ascii="Times New Roman" w:hAnsi="Times New Roman" w:cs="Times New Roman"/>
          <w:sz w:val="24"/>
          <w:szCs w:val="24"/>
        </w:rPr>
        <w:t>collapse.</w:t>
      </w:r>
      <w:r w:rsidR="00B62241" w:rsidRPr="00F62BA4">
        <w:rPr>
          <w:rStyle w:val="FootnoteReference"/>
          <w:rFonts w:ascii="Times New Roman" w:hAnsi="Times New Roman" w:cs="Times New Roman"/>
          <w:sz w:val="24"/>
          <w:szCs w:val="24"/>
        </w:rPr>
        <w:footnoteReference w:id="204"/>
      </w:r>
      <w:r w:rsidR="00B62241" w:rsidRPr="00F62BA4">
        <w:rPr>
          <w:rFonts w:ascii="Times New Roman" w:hAnsi="Times New Roman" w:cs="Times New Roman"/>
          <w:sz w:val="24"/>
          <w:szCs w:val="24"/>
        </w:rPr>
        <w:t xml:space="preserve"> </w:t>
      </w:r>
      <w:r w:rsidR="005D64A2" w:rsidRPr="00F62BA4">
        <w:rPr>
          <w:rFonts w:ascii="Times New Roman" w:hAnsi="Times New Roman" w:cs="Times New Roman"/>
          <w:sz w:val="24"/>
          <w:szCs w:val="24"/>
        </w:rPr>
        <w:t>Moreover, in spite of the existence of nominally independent representative organs, education in South Ossetia was allowed to decay over the course of the conflict, reflecting the state of South Ossetian medical care.</w:t>
      </w:r>
      <w:r w:rsidR="005D64A2" w:rsidRPr="00F62BA4">
        <w:rPr>
          <w:rStyle w:val="FootnoteReference"/>
          <w:rFonts w:ascii="Times New Roman" w:hAnsi="Times New Roman" w:cs="Times New Roman"/>
          <w:sz w:val="24"/>
          <w:szCs w:val="24"/>
        </w:rPr>
        <w:footnoteReference w:id="205"/>
      </w:r>
    </w:p>
    <w:p w:rsidR="004F47ED" w:rsidRDefault="004F47ED" w:rsidP="004F47ED">
      <w:pPr>
        <w:rPr>
          <w:rFonts w:ascii="Times New Roman" w:hAnsi="Times New Roman" w:cs="Times New Roman"/>
          <w:b/>
          <w:sz w:val="24"/>
          <w:szCs w:val="24"/>
        </w:rPr>
      </w:pPr>
      <w:r>
        <w:rPr>
          <w:rFonts w:ascii="Times New Roman" w:hAnsi="Times New Roman" w:cs="Times New Roman"/>
          <w:b/>
          <w:sz w:val="24"/>
          <w:szCs w:val="24"/>
        </w:rPr>
        <w:t>Guatemala (1963-1996)</w:t>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t>Rebels / Incumbents: Several; Rebel Armed Forces (FAR), Guerilla Army of the Poor (EGP), Revolutionary Organization of People in Arms (ORPA), Guatemalan Party of Labor (PGT), united as Guatemalan National Revolutionary Unity (URNG) since 1982 / Paramilitary groups, Guatemala</w:t>
      </w:r>
    </w:p>
    <w:p w:rsidR="004F47ED" w:rsidRDefault="004F47ED" w:rsidP="004F47ED">
      <w:pPr>
        <w:rPr>
          <w:rFonts w:ascii="Times New Roman" w:hAnsi="Times New Roman" w:cs="Times New Roman"/>
          <w:b/>
          <w:sz w:val="24"/>
          <w:szCs w:val="24"/>
        </w:rPr>
      </w:pPr>
      <w:r>
        <w:rPr>
          <w:rFonts w:ascii="Times New Roman" w:hAnsi="Times New Roman" w:cs="Times New Roman"/>
          <w:b/>
          <w:sz w:val="24"/>
          <w:szCs w:val="24"/>
        </w:rPr>
        <w:t>Policing/juridical</w:t>
      </w:r>
      <w:r w:rsidRPr="00F62BA4">
        <w:rPr>
          <w:rFonts w:ascii="Times New Roman" w:hAnsi="Times New Roman" w:cs="Times New Roman"/>
          <w:b/>
          <w:sz w:val="24"/>
          <w:szCs w:val="24"/>
        </w:rPr>
        <w:t>:</w:t>
      </w:r>
      <w:r>
        <w:rPr>
          <w:rFonts w:ascii="Times New Roman" w:hAnsi="Times New Roman" w:cs="Times New Roman"/>
          <w:b/>
          <w:sz w:val="24"/>
          <w:szCs w:val="24"/>
        </w:rPr>
        <w:t xml:space="preserve"> 1</w:t>
      </w:r>
      <w:r w:rsidRPr="00F62BA4">
        <w:rPr>
          <w:rFonts w:ascii="Times New Roman" w:hAnsi="Times New Roman" w:cs="Times New Roman"/>
          <w:b/>
          <w:sz w:val="24"/>
          <w:szCs w:val="24"/>
        </w:rPr>
        <w:t xml:space="preserve">; Public Goods: </w:t>
      </w:r>
      <w:r>
        <w:rPr>
          <w:rFonts w:ascii="Times New Roman" w:hAnsi="Times New Roman" w:cs="Times New Roman"/>
          <w:b/>
          <w:sz w:val="24"/>
          <w:szCs w:val="24"/>
        </w:rPr>
        <w:t>0</w:t>
      </w:r>
      <w:r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Pr="00F62BA4">
        <w:rPr>
          <w:rFonts w:ascii="Times New Roman" w:hAnsi="Times New Roman" w:cs="Times New Roman"/>
          <w:b/>
          <w:sz w:val="24"/>
          <w:szCs w:val="24"/>
        </w:rPr>
        <w:t xml:space="preserve">: </w:t>
      </w:r>
      <w:r>
        <w:rPr>
          <w:rFonts w:ascii="Times New Roman" w:hAnsi="Times New Roman" w:cs="Times New Roman"/>
          <w:b/>
          <w:sz w:val="24"/>
          <w:szCs w:val="24"/>
        </w:rPr>
        <w:t>1</w:t>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tab/>
        <w:t>The Guatemalan civil war began as rebel groups composed of reformist military personnel and land-poor Guatemalans (many of whom were victims of land grabs by wealthier individuals) took up arms against the state’s military government.</w:t>
      </w:r>
      <w:r>
        <w:rPr>
          <w:rStyle w:val="FootnoteReference"/>
          <w:rFonts w:ascii="Times New Roman" w:hAnsi="Times New Roman" w:cs="Times New Roman"/>
          <w:sz w:val="24"/>
          <w:szCs w:val="24"/>
        </w:rPr>
        <w:footnoteReference w:id="206"/>
      </w:r>
      <w:r>
        <w:rPr>
          <w:rFonts w:ascii="Times New Roman" w:hAnsi="Times New Roman" w:cs="Times New Roman"/>
          <w:sz w:val="24"/>
          <w:szCs w:val="24"/>
        </w:rPr>
        <w:t xml:space="preserve"> The various rebel </w:t>
      </w:r>
      <w:r>
        <w:rPr>
          <w:rFonts w:ascii="Times New Roman" w:hAnsi="Times New Roman" w:cs="Times New Roman"/>
          <w:sz w:val="24"/>
          <w:szCs w:val="24"/>
        </w:rPr>
        <w:lastRenderedPageBreak/>
        <w:t>movements were hamstrung by their own lack of coordination and the willingness of the military establishment to employ extraordinary brutality in its counterinsurgent efforts. While the rebel groups united in 1982 to form the URNG, Guatemala’s rebels were on the ropes from this point until the war’s conclusion. Although they regrouped by the end of the decade, Guatemala’s military (and military-aligned militias) were better equipped and organized than the guerillas, placing them at a distinct disadvantage.</w:t>
      </w:r>
      <w:r>
        <w:rPr>
          <w:rStyle w:val="FootnoteReference"/>
          <w:rFonts w:ascii="Times New Roman" w:hAnsi="Times New Roman" w:cs="Times New Roman"/>
          <w:sz w:val="24"/>
          <w:szCs w:val="24"/>
        </w:rPr>
        <w:footnoteReference w:id="207"/>
      </w:r>
      <w:r>
        <w:rPr>
          <w:rFonts w:ascii="Times New Roman" w:hAnsi="Times New Roman" w:cs="Times New Roman"/>
          <w:sz w:val="24"/>
          <w:szCs w:val="24"/>
        </w:rPr>
        <w:t xml:space="preserve"> Even had URNG adopted a strategy of taking and holding territory, they would likely have been unsuccessful.</w:t>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tab/>
        <w:t>In spite of the rebels’ reliance on sympathetic civilians for food, the URNG (and its constituent groups) did not adopt a strategy of holding territory, in part due to its strategic disadvantages, particularly later in the conflict.</w:t>
      </w:r>
      <w:r>
        <w:rPr>
          <w:rStyle w:val="FootnoteReference"/>
          <w:rFonts w:ascii="Times New Roman" w:hAnsi="Times New Roman" w:cs="Times New Roman"/>
          <w:sz w:val="24"/>
          <w:szCs w:val="24"/>
        </w:rPr>
        <w:footnoteReference w:id="208"/>
      </w:r>
      <w:r>
        <w:rPr>
          <w:rFonts w:ascii="Times New Roman" w:hAnsi="Times New Roman" w:cs="Times New Roman"/>
          <w:sz w:val="24"/>
          <w:szCs w:val="24"/>
        </w:rPr>
        <w:t xml:space="preserve"> This made rebel governance especially difficult. It did not help matters that URNG was a coalition. Although the group took pains to enumerate something like a unified political agenda, the disparate ideologies which composed it made this difficult.</w:t>
      </w:r>
      <w:r>
        <w:rPr>
          <w:rStyle w:val="FootnoteReference"/>
          <w:rFonts w:ascii="Times New Roman" w:hAnsi="Times New Roman" w:cs="Times New Roman"/>
          <w:sz w:val="24"/>
          <w:szCs w:val="24"/>
        </w:rPr>
        <w:footnoteReference w:id="209"/>
      </w:r>
      <w:r>
        <w:rPr>
          <w:rFonts w:ascii="Times New Roman" w:hAnsi="Times New Roman" w:cs="Times New Roman"/>
          <w:sz w:val="24"/>
          <w:szCs w:val="24"/>
        </w:rPr>
        <w:t xml:space="preserve"> This was also reflected in the lack of success the group had in leveraging its newfound solvency in the 1990’s, as they failed to secure a place in the postwar order beyond legalization as a political party.</w:t>
      </w:r>
      <w:r>
        <w:rPr>
          <w:rStyle w:val="FootnoteReference"/>
          <w:rFonts w:ascii="Times New Roman" w:hAnsi="Times New Roman" w:cs="Times New Roman"/>
          <w:sz w:val="24"/>
          <w:szCs w:val="24"/>
        </w:rPr>
        <w:footnoteReference w:id="210"/>
      </w:r>
      <w:r>
        <w:rPr>
          <w:rFonts w:ascii="Times New Roman" w:hAnsi="Times New Roman" w:cs="Times New Roman"/>
          <w:sz w:val="24"/>
          <w:szCs w:val="24"/>
        </w:rPr>
        <w:t xml:space="preserve"> The group was further hamstrung by an apparent lack of sophistication, causing it to lean heavily upon moderators in the negotiations themselves.</w:t>
      </w:r>
      <w:r>
        <w:rPr>
          <w:rStyle w:val="FootnoteReference"/>
          <w:rFonts w:ascii="Times New Roman" w:hAnsi="Times New Roman" w:cs="Times New Roman"/>
          <w:sz w:val="24"/>
          <w:szCs w:val="24"/>
        </w:rPr>
        <w:footnoteReference w:id="211"/>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tab/>
        <w:t>Ironically, before they coalesced into a single group, the rebels were more successful at controlling (and sometimes administering</w:t>
      </w:r>
      <w:r>
        <w:rPr>
          <w:rStyle w:val="FootnoteReference"/>
          <w:rFonts w:ascii="Times New Roman" w:hAnsi="Times New Roman" w:cs="Times New Roman"/>
          <w:sz w:val="24"/>
          <w:szCs w:val="24"/>
        </w:rPr>
        <w:footnoteReference w:id="212"/>
      </w:r>
      <w:r>
        <w:rPr>
          <w:rFonts w:ascii="Times New Roman" w:hAnsi="Times New Roman" w:cs="Times New Roman"/>
          <w:sz w:val="24"/>
          <w:szCs w:val="24"/>
        </w:rPr>
        <w:t>) territory. For instance, MR-13 had little difficulty operating among and between far-flung villages in the mid-1960s. During this period, the group was able to organize political and military leadership from among its peasant-recruited numbers.</w:t>
      </w:r>
      <w:r>
        <w:rPr>
          <w:rStyle w:val="FootnoteReference"/>
          <w:rFonts w:ascii="Times New Roman" w:hAnsi="Times New Roman" w:cs="Times New Roman"/>
          <w:sz w:val="24"/>
          <w:szCs w:val="24"/>
        </w:rPr>
        <w:footnoteReference w:id="213"/>
      </w:r>
      <w:r>
        <w:rPr>
          <w:rFonts w:ascii="Times New Roman" w:hAnsi="Times New Roman" w:cs="Times New Roman"/>
          <w:sz w:val="24"/>
          <w:szCs w:val="24"/>
        </w:rPr>
        <w:t xml:space="preserve"> Additionally, peasant committees were established during this early period. These popularly elected committees handled disputes among peasants and aided in political organizing.</w:t>
      </w:r>
      <w:r>
        <w:rPr>
          <w:rStyle w:val="FootnoteReference"/>
          <w:rFonts w:ascii="Times New Roman" w:hAnsi="Times New Roman" w:cs="Times New Roman"/>
          <w:sz w:val="24"/>
          <w:szCs w:val="24"/>
        </w:rPr>
        <w:footnoteReference w:id="214"/>
      </w:r>
      <w:r>
        <w:rPr>
          <w:rFonts w:ascii="Times New Roman" w:hAnsi="Times New Roman" w:cs="Times New Roman"/>
          <w:sz w:val="24"/>
          <w:szCs w:val="24"/>
        </w:rPr>
        <w:t xml:space="preserve"> Once guerilla operations moved toward urban population centers, though, the Guatemalan government was able to deal the rebels serious defeats. By 1971, Guatemala’s guerilla activity had all but ceased.</w:t>
      </w:r>
      <w:r>
        <w:rPr>
          <w:rStyle w:val="FootnoteReference"/>
          <w:rFonts w:ascii="Times New Roman" w:hAnsi="Times New Roman" w:cs="Times New Roman"/>
          <w:sz w:val="24"/>
          <w:szCs w:val="24"/>
        </w:rPr>
        <w:footnoteReference w:id="215"/>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lastRenderedPageBreak/>
        <w:tab/>
        <w:t>The late 1970s saw the re-energized insurgent groups operating over the majority of the country (18 of 22 departments) and controlling a substantial portion of this territory.</w:t>
      </w:r>
      <w:r>
        <w:rPr>
          <w:rStyle w:val="FootnoteReference"/>
          <w:rFonts w:ascii="Times New Roman" w:hAnsi="Times New Roman" w:cs="Times New Roman"/>
          <w:sz w:val="24"/>
          <w:szCs w:val="24"/>
        </w:rPr>
        <w:footnoteReference w:id="216"/>
      </w:r>
      <w:r>
        <w:rPr>
          <w:rFonts w:ascii="Times New Roman" w:hAnsi="Times New Roman" w:cs="Times New Roman"/>
          <w:sz w:val="24"/>
          <w:szCs w:val="24"/>
        </w:rPr>
        <w:t xml:space="preserve"> One reason for this success was the effort to incorporate the indigenous Mayan population which had been politically neglected up to this point by both government and insurgents.</w:t>
      </w:r>
      <w:r>
        <w:rPr>
          <w:rStyle w:val="FootnoteReference"/>
          <w:rFonts w:ascii="Times New Roman" w:hAnsi="Times New Roman" w:cs="Times New Roman"/>
          <w:sz w:val="24"/>
          <w:szCs w:val="24"/>
        </w:rPr>
        <w:footnoteReference w:id="217"/>
      </w:r>
      <w:r>
        <w:rPr>
          <w:rFonts w:ascii="Times New Roman" w:hAnsi="Times New Roman" w:cs="Times New Roman"/>
          <w:sz w:val="24"/>
          <w:szCs w:val="24"/>
        </w:rPr>
        <w:t xml:space="preserve"> This allowed the group to introduce some organizational elements to their controlled territories.</w:t>
      </w:r>
      <w:r>
        <w:rPr>
          <w:rStyle w:val="FootnoteReference"/>
          <w:rFonts w:ascii="Times New Roman" w:hAnsi="Times New Roman" w:cs="Times New Roman"/>
          <w:sz w:val="24"/>
          <w:szCs w:val="24"/>
        </w:rPr>
        <w:footnoteReference w:id="218"/>
      </w:r>
      <w:r>
        <w:rPr>
          <w:rFonts w:ascii="Times New Roman" w:hAnsi="Times New Roman" w:cs="Times New Roman"/>
          <w:sz w:val="24"/>
          <w:szCs w:val="24"/>
        </w:rPr>
        <w:t xml:space="preserve"> Although the particular arrangement of the institutions is unknown, it appears that institutions similar in function to the peasant committees of the 1960s emerged in some regions.</w:t>
      </w:r>
      <w:r>
        <w:rPr>
          <w:rStyle w:val="FootnoteReference"/>
          <w:rFonts w:ascii="Times New Roman" w:hAnsi="Times New Roman" w:cs="Times New Roman"/>
          <w:sz w:val="24"/>
          <w:szCs w:val="24"/>
        </w:rPr>
        <w:footnoteReference w:id="219"/>
      </w:r>
    </w:p>
    <w:p w:rsidR="004F47ED" w:rsidRDefault="004F47ED" w:rsidP="004F47ED">
      <w:pPr>
        <w:rPr>
          <w:rFonts w:ascii="Times New Roman" w:hAnsi="Times New Roman" w:cs="Times New Roman"/>
          <w:sz w:val="24"/>
          <w:szCs w:val="24"/>
        </w:rPr>
      </w:pPr>
      <w:r>
        <w:rPr>
          <w:rFonts w:ascii="Times New Roman" w:hAnsi="Times New Roman" w:cs="Times New Roman"/>
          <w:sz w:val="24"/>
          <w:szCs w:val="24"/>
        </w:rPr>
        <w:tab/>
        <w:t>Until 1982, insurgents were able to ramp up activities, particularly their means to extract funds. They kidnapped foreigners to hold for ransom and collected “revolutionary taxes” (which essentially constituted a protection racket).</w:t>
      </w:r>
      <w:r>
        <w:rPr>
          <w:rStyle w:val="FootnoteReference"/>
          <w:rFonts w:ascii="Times New Roman" w:hAnsi="Times New Roman" w:cs="Times New Roman"/>
          <w:sz w:val="24"/>
          <w:szCs w:val="24"/>
        </w:rPr>
        <w:footnoteReference w:id="220"/>
      </w:r>
      <w:r>
        <w:rPr>
          <w:rFonts w:ascii="Times New Roman" w:hAnsi="Times New Roman" w:cs="Times New Roman"/>
          <w:sz w:val="24"/>
          <w:szCs w:val="24"/>
        </w:rPr>
        <w:t xml:space="preserve"> Thanks to a profoundly brutal counterinsurgency campaign concomitant with an aggressive campaign of development to undermine the rebels’ legitimacy, government forces made substantial gains.</w:t>
      </w:r>
      <w:r>
        <w:rPr>
          <w:rStyle w:val="FootnoteReference"/>
          <w:rFonts w:ascii="Times New Roman" w:hAnsi="Times New Roman" w:cs="Times New Roman"/>
          <w:sz w:val="24"/>
          <w:szCs w:val="24"/>
        </w:rPr>
        <w:footnoteReference w:id="221"/>
      </w:r>
      <w:r>
        <w:rPr>
          <w:rFonts w:ascii="Times New Roman" w:hAnsi="Times New Roman" w:cs="Times New Roman"/>
          <w:sz w:val="24"/>
          <w:szCs w:val="24"/>
        </w:rPr>
        <w:t xml:space="preserve"> It came at enormous human costs, even aside from battlefield casualties—anyone exhibiting anything less than enthusiastic endorsement of the military’s ends and means was a target for assassination.</w:t>
      </w:r>
      <w:r>
        <w:rPr>
          <w:rStyle w:val="FootnoteReference"/>
          <w:rFonts w:ascii="Times New Roman" w:hAnsi="Times New Roman" w:cs="Times New Roman"/>
          <w:sz w:val="24"/>
          <w:szCs w:val="24"/>
        </w:rPr>
        <w:footnoteReference w:id="222"/>
      </w:r>
    </w:p>
    <w:p w:rsidR="00B318CA" w:rsidRPr="00F62BA4" w:rsidRDefault="00B318CA" w:rsidP="00DE6C08">
      <w:pPr>
        <w:rPr>
          <w:rFonts w:ascii="Times New Roman" w:hAnsi="Times New Roman" w:cs="Times New Roman"/>
          <w:b/>
          <w:sz w:val="24"/>
          <w:szCs w:val="24"/>
        </w:rPr>
      </w:pPr>
      <w:r w:rsidRPr="00F62BA4">
        <w:rPr>
          <w:rFonts w:ascii="Times New Roman" w:hAnsi="Times New Roman" w:cs="Times New Roman"/>
          <w:b/>
          <w:sz w:val="24"/>
          <w:szCs w:val="24"/>
        </w:rPr>
        <w:t>Guinea-Bissau (1998)</w:t>
      </w:r>
    </w:p>
    <w:p w:rsidR="00B318CA" w:rsidRPr="00F62BA4" w:rsidRDefault="00B318CA" w:rsidP="00DE6C08">
      <w:pPr>
        <w:rPr>
          <w:rFonts w:ascii="Times New Roman" w:hAnsi="Times New Roman" w:cs="Times New Roman"/>
          <w:sz w:val="24"/>
          <w:szCs w:val="24"/>
        </w:rPr>
      </w:pPr>
      <w:r w:rsidRPr="00F62BA4">
        <w:rPr>
          <w:rFonts w:ascii="Times New Roman" w:hAnsi="Times New Roman" w:cs="Times New Roman"/>
          <w:sz w:val="24"/>
          <w:szCs w:val="24"/>
        </w:rPr>
        <w:t>Rebels / Incumbents: Ansumane Mane and allied portion of Guinea-Bissau’s armed forces / Guinea-Bissau</w:t>
      </w:r>
    </w:p>
    <w:p w:rsidR="00D9746E" w:rsidRDefault="005B1032" w:rsidP="00DE6C08">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B318CA" w:rsidRPr="00F62BA4" w:rsidRDefault="00B318CA" w:rsidP="00DE6C08">
      <w:pPr>
        <w:rPr>
          <w:rFonts w:ascii="Times New Roman" w:hAnsi="Times New Roman" w:cs="Times New Roman"/>
          <w:sz w:val="24"/>
          <w:szCs w:val="24"/>
        </w:rPr>
      </w:pPr>
      <w:r w:rsidRPr="00F62BA4">
        <w:rPr>
          <w:rFonts w:ascii="Times New Roman" w:hAnsi="Times New Roman" w:cs="Times New Roman"/>
          <w:sz w:val="24"/>
          <w:szCs w:val="24"/>
        </w:rPr>
        <w:tab/>
        <w:t>Ansumane Mane, on the verge of being implicated in a scandal related to the sale of arms to Senegal, organized sympathetic elements of the armed forces to attempt a coup d’état.</w:t>
      </w:r>
      <w:r w:rsidRPr="00F62BA4">
        <w:rPr>
          <w:rStyle w:val="FootnoteReference"/>
          <w:rFonts w:ascii="Times New Roman" w:hAnsi="Times New Roman" w:cs="Times New Roman"/>
          <w:sz w:val="24"/>
          <w:szCs w:val="24"/>
        </w:rPr>
        <w:footnoteReference w:id="223"/>
      </w:r>
      <w:r w:rsidRPr="00F62BA4">
        <w:rPr>
          <w:rFonts w:ascii="Times New Roman" w:hAnsi="Times New Roman" w:cs="Times New Roman"/>
          <w:sz w:val="24"/>
          <w:szCs w:val="24"/>
        </w:rPr>
        <w:t xml:space="preserve"> Between the somewhat dubious accusations leveled against him and </w:t>
      </w:r>
      <w:r w:rsidR="00021033" w:rsidRPr="00F62BA4">
        <w:rPr>
          <w:rFonts w:ascii="Times New Roman" w:hAnsi="Times New Roman" w:cs="Times New Roman"/>
          <w:sz w:val="24"/>
          <w:szCs w:val="24"/>
        </w:rPr>
        <w:t>public dissatisfaction with governmental corruption and a generally low standard of living, Mane had little trouble attracting followers. The coup quickly became a war, as the brief war became extraordinarily bloody.</w:t>
      </w:r>
    </w:p>
    <w:p w:rsidR="00892C14" w:rsidRPr="00D9746E" w:rsidRDefault="00021033"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Mane retained </w:t>
      </w:r>
      <w:r w:rsidR="00090AF3" w:rsidRPr="00F62BA4">
        <w:rPr>
          <w:rFonts w:ascii="Times New Roman" w:hAnsi="Times New Roman" w:cs="Times New Roman"/>
          <w:sz w:val="24"/>
          <w:szCs w:val="24"/>
        </w:rPr>
        <w:t>a substantial portion</w:t>
      </w:r>
      <w:r w:rsidRPr="00F62BA4">
        <w:rPr>
          <w:rFonts w:ascii="Times New Roman" w:hAnsi="Times New Roman" w:cs="Times New Roman"/>
          <w:sz w:val="24"/>
          <w:szCs w:val="24"/>
        </w:rPr>
        <w:t xml:space="preserve"> of power after</w:t>
      </w:r>
      <w:r w:rsidR="00C52265" w:rsidRPr="00F62BA4">
        <w:rPr>
          <w:rFonts w:ascii="Times New Roman" w:hAnsi="Times New Roman" w:cs="Times New Roman"/>
          <w:sz w:val="24"/>
          <w:szCs w:val="24"/>
        </w:rPr>
        <w:t xml:space="preserve"> the peace agreement was signed. Nevertheless,</w:t>
      </w:r>
      <w:r w:rsidRPr="00F62BA4">
        <w:rPr>
          <w:rFonts w:ascii="Times New Roman" w:hAnsi="Times New Roman" w:cs="Times New Roman"/>
          <w:sz w:val="24"/>
          <w:szCs w:val="24"/>
        </w:rPr>
        <w:t xml:space="preserve"> the promised elections were held on schedule.</w:t>
      </w:r>
      <w:r w:rsidRPr="00F62BA4">
        <w:rPr>
          <w:rStyle w:val="FootnoteReference"/>
          <w:rFonts w:ascii="Times New Roman" w:hAnsi="Times New Roman" w:cs="Times New Roman"/>
          <w:sz w:val="24"/>
          <w:szCs w:val="24"/>
        </w:rPr>
        <w:footnoteReference w:id="224"/>
      </w:r>
      <w:r w:rsidRPr="00F62BA4">
        <w:rPr>
          <w:rFonts w:ascii="Times New Roman" w:hAnsi="Times New Roman" w:cs="Times New Roman"/>
          <w:sz w:val="24"/>
          <w:szCs w:val="24"/>
        </w:rPr>
        <w:t xml:space="preserve"> However, very little took place </w:t>
      </w:r>
      <w:r w:rsidRPr="00F62BA4">
        <w:rPr>
          <w:rFonts w:ascii="Times New Roman" w:hAnsi="Times New Roman" w:cs="Times New Roman"/>
          <w:sz w:val="24"/>
          <w:szCs w:val="24"/>
        </w:rPr>
        <w:lastRenderedPageBreak/>
        <w:t>during the fighting other than the fighting itself.</w:t>
      </w:r>
      <w:r w:rsidRPr="00F62BA4">
        <w:rPr>
          <w:rStyle w:val="FootnoteReference"/>
          <w:rFonts w:ascii="Times New Roman" w:hAnsi="Times New Roman" w:cs="Times New Roman"/>
          <w:sz w:val="24"/>
          <w:szCs w:val="24"/>
        </w:rPr>
        <w:footnoteReference w:id="225"/>
      </w:r>
      <w:r w:rsidRPr="00F62BA4">
        <w:rPr>
          <w:rFonts w:ascii="Times New Roman" w:hAnsi="Times New Roman" w:cs="Times New Roman"/>
          <w:sz w:val="24"/>
          <w:szCs w:val="24"/>
        </w:rPr>
        <w:t xml:space="preserve"> Mane, a military commander himself, busied himself with the business of the war, trusting that the postwar process would revitalize the democratic institutions that already existed.</w:t>
      </w:r>
      <w:r w:rsidR="00C52265" w:rsidRPr="00F62BA4">
        <w:rPr>
          <w:rFonts w:ascii="Times New Roman" w:hAnsi="Times New Roman" w:cs="Times New Roman"/>
          <w:sz w:val="24"/>
          <w:szCs w:val="24"/>
        </w:rPr>
        <w:t xml:space="preserve"> Other than the organizing of the belligerents, no rebel governance manifested itself during this brief conflict.</w:t>
      </w:r>
    </w:p>
    <w:p w:rsidR="00063AA9" w:rsidRPr="00F62BA4" w:rsidRDefault="00063AA9" w:rsidP="00DE6C08">
      <w:pPr>
        <w:rPr>
          <w:rFonts w:ascii="Times New Roman" w:hAnsi="Times New Roman" w:cs="Times New Roman"/>
          <w:b/>
          <w:sz w:val="24"/>
          <w:szCs w:val="24"/>
        </w:rPr>
      </w:pPr>
      <w:r w:rsidRPr="00F62BA4">
        <w:rPr>
          <w:rFonts w:ascii="Times New Roman" w:hAnsi="Times New Roman" w:cs="Times New Roman"/>
          <w:b/>
          <w:sz w:val="24"/>
          <w:szCs w:val="24"/>
        </w:rPr>
        <w:t>India (1984-1993)</w:t>
      </w:r>
    </w:p>
    <w:p w:rsidR="00063AA9" w:rsidRPr="00F62BA4" w:rsidRDefault="00063AA9" w:rsidP="00DE6C08">
      <w:pPr>
        <w:rPr>
          <w:rFonts w:ascii="Times New Roman" w:hAnsi="Times New Roman" w:cs="Times New Roman"/>
          <w:sz w:val="24"/>
          <w:szCs w:val="24"/>
        </w:rPr>
      </w:pPr>
      <w:r w:rsidRPr="00F62BA4">
        <w:rPr>
          <w:rFonts w:ascii="Times New Roman" w:hAnsi="Times New Roman" w:cs="Times New Roman"/>
          <w:sz w:val="24"/>
          <w:szCs w:val="24"/>
        </w:rPr>
        <w:t>Rebels / Incumbents: Khalistan Separatists / India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620701" w:rsidRPr="00F62BA4" w:rsidRDefault="00063AA9" w:rsidP="00063AA9">
      <w:pPr>
        <w:rPr>
          <w:rFonts w:ascii="Times New Roman" w:hAnsi="Times New Roman" w:cs="Times New Roman"/>
          <w:sz w:val="24"/>
          <w:szCs w:val="24"/>
        </w:rPr>
      </w:pPr>
      <w:r w:rsidRPr="00F62BA4">
        <w:rPr>
          <w:rFonts w:ascii="Times New Roman" w:hAnsi="Times New Roman" w:cs="Times New Roman"/>
          <w:sz w:val="24"/>
          <w:szCs w:val="24"/>
        </w:rPr>
        <w:tab/>
        <w:t>Although the civil war had technically begun already, Operation Bluestar marked the largest confrontation between Sikh separatists aiming at establishing an independent Khalistan and Indian forces.</w:t>
      </w:r>
      <w:r w:rsidRPr="00F62BA4">
        <w:rPr>
          <w:rStyle w:val="FootnoteReference"/>
          <w:rFonts w:ascii="Times New Roman" w:hAnsi="Times New Roman" w:cs="Times New Roman"/>
          <w:sz w:val="24"/>
          <w:szCs w:val="24"/>
        </w:rPr>
        <w:footnoteReference w:id="226"/>
      </w:r>
      <w:r w:rsidRPr="00F62BA4">
        <w:rPr>
          <w:rFonts w:ascii="Times New Roman" w:hAnsi="Times New Roman" w:cs="Times New Roman"/>
          <w:sz w:val="24"/>
          <w:szCs w:val="24"/>
        </w:rPr>
        <w:t xml:space="preserve"> </w:t>
      </w:r>
      <w:r w:rsidR="007926EE" w:rsidRPr="00F62BA4">
        <w:rPr>
          <w:rFonts w:ascii="Times New Roman" w:hAnsi="Times New Roman" w:cs="Times New Roman"/>
          <w:sz w:val="24"/>
          <w:szCs w:val="24"/>
        </w:rPr>
        <w:t>Although the operation successfully ejected the separatist militants from their fortified position inside Marmandir Sahib,</w:t>
      </w:r>
      <w:r w:rsidR="00620701" w:rsidRPr="00F62BA4">
        <w:rPr>
          <w:rFonts w:ascii="Times New Roman" w:hAnsi="Times New Roman" w:cs="Times New Roman"/>
          <w:sz w:val="24"/>
          <w:szCs w:val="24"/>
        </w:rPr>
        <w:t xml:space="preserve"> the operation also left Punjab’s Sikhs deeply alienated, in no small part due to the places symbolism in India’s founding.</w:t>
      </w:r>
      <w:r w:rsidR="00620701" w:rsidRPr="00F62BA4">
        <w:rPr>
          <w:rStyle w:val="FootnoteReference"/>
          <w:rFonts w:ascii="Times New Roman" w:hAnsi="Times New Roman" w:cs="Times New Roman"/>
          <w:sz w:val="24"/>
          <w:szCs w:val="24"/>
        </w:rPr>
        <w:footnoteReference w:id="227"/>
      </w:r>
      <w:r w:rsidR="00620701" w:rsidRPr="00F62BA4">
        <w:rPr>
          <w:rFonts w:ascii="Times New Roman" w:hAnsi="Times New Roman" w:cs="Times New Roman"/>
          <w:sz w:val="24"/>
          <w:szCs w:val="24"/>
        </w:rPr>
        <w:t xml:space="preserve"> </w:t>
      </w:r>
      <w:r w:rsidR="00B83E76" w:rsidRPr="00F62BA4">
        <w:rPr>
          <w:rFonts w:ascii="Times New Roman" w:hAnsi="Times New Roman" w:cs="Times New Roman"/>
          <w:sz w:val="24"/>
          <w:szCs w:val="24"/>
        </w:rPr>
        <w:t>This alienation likely played a role in the assassination of Indira Gandhi by two of her Sikh bodyguards. Ghandi’s popularity outside of Punjab then fueled brutal reprisals in the form of deadly riots.</w:t>
      </w:r>
    </w:p>
    <w:p w:rsidR="00B83E76" w:rsidRPr="00F62BA4" w:rsidRDefault="00B83E76" w:rsidP="00063AA9">
      <w:pPr>
        <w:rPr>
          <w:rFonts w:ascii="Times New Roman" w:hAnsi="Times New Roman" w:cs="Times New Roman"/>
          <w:sz w:val="24"/>
          <w:szCs w:val="24"/>
        </w:rPr>
      </w:pPr>
      <w:r w:rsidRPr="00F62BA4">
        <w:rPr>
          <w:rFonts w:ascii="Times New Roman" w:hAnsi="Times New Roman" w:cs="Times New Roman"/>
          <w:sz w:val="24"/>
          <w:szCs w:val="24"/>
        </w:rPr>
        <w:tab/>
      </w:r>
      <w:r w:rsidR="001F2EE3" w:rsidRPr="00F62BA4">
        <w:rPr>
          <w:rFonts w:ascii="Times New Roman" w:hAnsi="Times New Roman" w:cs="Times New Roman"/>
          <w:sz w:val="24"/>
          <w:szCs w:val="24"/>
        </w:rPr>
        <w:t>Although t</w:t>
      </w:r>
      <w:r w:rsidRPr="00F62BA4">
        <w:rPr>
          <w:rFonts w:ascii="Times New Roman" w:hAnsi="Times New Roman" w:cs="Times New Roman"/>
          <w:sz w:val="24"/>
          <w:szCs w:val="24"/>
        </w:rPr>
        <w:t>he separatists were rumored to have established their own civil administration within their pockets of controlled terr</w:t>
      </w:r>
      <w:r w:rsidR="001F2EE3" w:rsidRPr="00F62BA4">
        <w:rPr>
          <w:rFonts w:ascii="Times New Roman" w:hAnsi="Times New Roman" w:cs="Times New Roman"/>
          <w:sz w:val="24"/>
          <w:szCs w:val="24"/>
        </w:rPr>
        <w:t>itory,</w:t>
      </w:r>
      <w:r w:rsidRPr="00F62BA4">
        <w:rPr>
          <w:rStyle w:val="FootnoteReference"/>
          <w:rFonts w:ascii="Times New Roman" w:hAnsi="Times New Roman" w:cs="Times New Roman"/>
          <w:sz w:val="24"/>
          <w:szCs w:val="24"/>
        </w:rPr>
        <w:footnoteReference w:id="228"/>
      </w:r>
      <w:r w:rsidR="001F2EE3" w:rsidRPr="00F62BA4">
        <w:rPr>
          <w:rFonts w:ascii="Times New Roman" w:hAnsi="Times New Roman" w:cs="Times New Roman"/>
          <w:sz w:val="24"/>
          <w:szCs w:val="24"/>
        </w:rPr>
        <w:t xml:space="preserve"> instruments of limited Sikh autonomy already existed at the time of the conflict’s beginning.</w:t>
      </w:r>
      <w:r w:rsidR="001F2EE3" w:rsidRPr="00F62BA4">
        <w:rPr>
          <w:rStyle w:val="FootnoteReference"/>
          <w:rFonts w:ascii="Times New Roman" w:hAnsi="Times New Roman" w:cs="Times New Roman"/>
          <w:sz w:val="24"/>
          <w:szCs w:val="24"/>
        </w:rPr>
        <w:footnoteReference w:id="229"/>
      </w:r>
      <w:r w:rsidR="001F2EE3" w:rsidRPr="00F62BA4">
        <w:rPr>
          <w:rFonts w:ascii="Times New Roman" w:hAnsi="Times New Roman" w:cs="Times New Roman"/>
          <w:sz w:val="24"/>
          <w:szCs w:val="24"/>
        </w:rPr>
        <w:t xml:space="preserve"> Indeed, elections to the Shiromani Gurdwara Parbandhak Committee</w:t>
      </w:r>
      <w:r w:rsidR="008215FF" w:rsidRPr="00F62BA4">
        <w:rPr>
          <w:rFonts w:ascii="Times New Roman" w:hAnsi="Times New Roman" w:cs="Times New Roman"/>
          <w:sz w:val="24"/>
          <w:szCs w:val="24"/>
        </w:rPr>
        <w:t xml:space="preserve"> (SGPC)</w:t>
      </w:r>
      <w:r w:rsidR="001F2EE3" w:rsidRPr="00F62BA4">
        <w:rPr>
          <w:rFonts w:ascii="Times New Roman" w:hAnsi="Times New Roman" w:cs="Times New Roman"/>
          <w:sz w:val="24"/>
          <w:szCs w:val="24"/>
        </w:rPr>
        <w:t xml:space="preserve">—an organ which handles religious questions and administers Sikh places of worship—are (and were) conducted by the state. However, over the course of the conflict, some extra-state institutions emerged. </w:t>
      </w:r>
      <w:r w:rsidR="008215FF" w:rsidRPr="00F62BA4">
        <w:rPr>
          <w:rFonts w:ascii="Times New Roman" w:hAnsi="Times New Roman" w:cs="Times New Roman"/>
          <w:sz w:val="24"/>
          <w:szCs w:val="24"/>
        </w:rPr>
        <w:t xml:space="preserve">For instance, the independent Panthic Committee was created by militants in 1986. However, this and other institutional actions (disbanding the SGPC, appointing a jathedar outside of SGPC auspices) were themselves subversions of elected Sikh officials. Regardless of their popularity, these actions do not qualify as additional </w:t>
      </w:r>
      <w:r w:rsidR="005B1032">
        <w:rPr>
          <w:rFonts w:ascii="Times New Roman" w:hAnsi="Times New Roman" w:cs="Times New Roman"/>
          <w:sz w:val="24"/>
          <w:szCs w:val="24"/>
        </w:rPr>
        <w:t>consultative instruments</w:t>
      </w:r>
      <w:r w:rsidR="008215FF" w:rsidRPr="00F62BA4">
        <w:rPr>
          <w:rFonts w:ascii="Times New Roman" w:hAnsi="Times New Roman" w:cs="Times New Roman"/>
          <w:sz w:val="24"/>
          <w:szCs w:val="24"/>
        </w:rPr>
        <w:t>.</w:t>
      </w:r>
    </w:p>
    <w:p w:rsidR="001C7C85" w:rsidRPr="00F62BA4" w:rsidRDefault="00370825" w:rsidP="00063AA9">
      <w:pPr>
        <w:rPr>
          <w:rFonts w:ascii="Times New Roman" w:hAnsi="Times New Roman" w:cs="Times New Roman"/>
          <w:sz w:val="24"/>
          <w:szCs w:val="24"/>
        </w:rPr>
      </w:pPr>
      <w:r w:rsidRPr="00F62BA4">
        <w:rPr>
          <w:rFonts w:ascii="Times New Roman" w:hAnsi="Times New Roman" w:cs="Times New Roman"/>
          <w:sz w:val="24"/>
          <w:szCs w:val="24"/>
        </w:rPr>
        <w:tab/>
        <w:t>This appears to be the extent of Khalistani institutional development, as the groups pushing for independence suffered a myriad of obstacles. In spite of assistance from mass organizations in Punjab beginning before the conflict,</w:t>
      </w:r>
      <w:r w:rsidRPr="00F62BA4">
        <w:rPr>
          <w:rStyle w:val="FootnoteReference"/>
          <w:rFonts w:ascii="Times New Roman" w:hAnsi="Times New Roman" w:cs="Times New Roman"/>
          <w:sz w:val="24"/>
          <w:szCs w:val="24"/>
        </w:rPr>
        <w:footnoteReference w:id="230"/>
      </w:r>
      <w:r w:rsidRPr="00F62BA4">
        <w:rPr>
          <w:rFonts w:ascii="Times New Roman" w:hAnsi="Times New Roman" w:cs="Times New Roman"/>
          <w:sz w:val="24"/>
          <w:szCs w:val="24"/>
        </w:rPr>
        <w:t xml:space="preserve"> Khalistan separatism became increasingly unpopular as allegations of rape and murder on the part of militants spread throughout the state. Inconsistent support from Pakistan also made consolidation difficult, as it meant that the material disadvantage suffered by the militants was unlikely to be remedied. </w:t>
      </w:r>
      <w:r w:rsidRPr="00F62BA4">
        <w:rPr>
          <w:rFonts w:ascii="Times New Roman" w:hAnsi="Times New Roman" w:cs="Times New Roman"/>
          <w:sz w:val="24"/>
          <w:szCs w:val="24"/>
        </w:rPr>
        <w:lastRenderedPageBreak/>
        <w:t>Thirdly, beginning in 1988, factional rivalries left the movement deeply divided, preventing the consolidation of their meagre resources.</w:t>
      </w:r>
      <w:r w:rsidRPr="00F62BA4">
        <w:rPr>
          <w:rStyle w:val="FootnoteReference"/>
          <w:rFonts w:ascii="Times New Roman" w:hAnsi="Times New Roman" w:cs="Times New Roman"/>
          <w:sz w:val="24"/>
          <w:szCs w:val="24"/>
        </w:rPr>
        <w:footnoteReference w:id="231"/>
      </w:r>
      <w:r w:rsidRPr="00F62BA4">
        <w:rPr>
          <w:rFonts w:ascii="Times New Roman" w:hAnsi="Times New Roman" w:cs="Times New Roman"/>
          <w:sz w:val="24"/>
          <w:szCs w:val="24"/>
        </w:rPr>
        <w:t xml:space="preserve"> Finally, the Indian government instituted a brutal campaign to stamp out milita</w:t>
      </w:r>
      <w:r w:rsidR="001C7C85" w:rsidRPr="00F62BA4">
        <w:rPr>
          <w:rFonts w:ascii="Times New Roman" w:hAnsi="Times New Roman" w:cs="Times New Roman"/>
          <w:sz w:val="24"/>
          <w:szCs w:val="24"/>
        </w:rPr>
        <w:t>ncy in Punjab, overwhelming what remained of militant forces.</w:t>
      </w:r>
      <w:r w:rsidR="001C7C85" w:rsidRPr="00F62BA4">
        <w:rPr>
          <w:rStyle w:val="FootnoteReference"/>
          <w:rFonts w:ascii="Times New Roman" w:hAnsi="Times New Roman" w:cs="Times New Roman"/>
          <w:sz w:val="24"/>
          <w:szCs w:val="24"/>
        </w:rPr>
        <w:footnoteReference w:id="232"/>
      </w:r>
    </w:p>
    <w:p w:rsidR="00C307EB" w:rsidRPr="00F62BA4" w:rsidRDefault="00063AA9" w:rsidP="00DE6C08">
      <w:pPr>
        <w:rPr>
          <w:rFonts w:ascii="Times New Roman" w:hAnsi="Times New Roman" w:cs="Times New Roman"/>
          <w:b/>
          <w:sz w:val="24"/>
          <w:szCs w:val="24"/>
        </w:rPr>
      </w:pPr>
      <w:r w:rsidRPr="00F62BA4">
        <w:rPr>
          <w:rFonts w:ascii="Times New Roman" w:hAnsi="Times New Roman" w:cs="Times New Roman"/>
          <w:b/>
          <w:sz w:val="24"/>
          <w:szCs w:val="24"/>
        </w:rPr>
        <w:t>Indonesia</w:t>
      </w:r>
      <w:r w:rsidR="002E5C55" w:rsidRPr="00F62BA4">
        <w:rPr>
          <w:rFonts w:ascii="Times New Roman" w:hAnsi="Times New Roman" w:cs="Times New Roman"/>
          <w:b/>
          <w:sz w:val="24"/>
          <w:szCs w:val="24"/>
        </w:rPr>
        <w:t xml:space="preserve"> (</w:t>
      </w:r>
      <w:r w:rsidR="00C307EB" w:rsidRPr="00F62BA4">
        <w:rPr>
          <w:rFonts w:ascii="Times New Roman" w:hAnsi="Times New Roman" w:cs="Times New Roman"/>
          <w:b/>
          <w:sz w:val="24"/>
          <w:szCs w:val="24"/>
        </w:rPr>
        <w:t>1975-1999</w:t>
      </w:r>
      <w:r w:rsidR="002E5C55" w:rsidRPr="00F62BA4">
        <w:rPr>
          <w:rFonts w:ascii="Times New Roman" w:hAnsi="Times New Roman" w:cs="Times New Roman"/>
          <w:b/>
          <w:sz w:val="24"/>
          <w:szCs w:val="24"/>
        </w:rPr>
        <w:t>)</w:t>
      </w:r>
    </w:p>
    <w:p w:rsidR="002E5C55" w:rsidRPr="00F62BA4" w:rsidRDefault="002E5C55" w:rsidP="00DE6C08">
      <w:pPr>
        <w:rPr>
          <w:rFonts w:ascii="Times New Roman" w:hAnsi="Times New Roman" w:cs="Times New Roman"/>
          <w:sz w:val="24"/>
          <w:szCs w:val="24"/>
        </w:rPr>
      </w:pPr>
      <w:r w:rsidRPr="00F62BA4">
        <w:rPr>
          <w:rFonts w:ascii="Times New Roman" w:hAnsi="Times New Roman" w:cs="Times New Roman"/>
          <w:sz w:val="24"/>
          <w:szCs w:val="24"/>
        </w:rPr>
        <w:t>Rebels / Incumbents: Revolutionary Front for an Independent Timor Leste</w:t>
      </w:r>
      <w:r w:rsidR="00EA3FD1" w:rsidRPr="00F62BA4">
        <w:rPr>
          <w:rFonts w:ascii="Times New Roman" w:hAnsi="Times New Roman" w:cs="Times New Roman"/>
          <w:sz w:val="24"/>
          <w:szCs w:val="24"/>
        </w:rPr>
        <w:t xml:space="preserve"> (</w:t>
      </w:r>
      <w:r w:rsidR="00E63E80" w:rsidRPr="00F62BA4">
        <w:rPr>
          <w:rFonts w:ascii="Times New Roman" w:hAnsi="Times New Roman" w:cs="Times New Roman"/>
          <w:sz w:val="24"/>
          <w:szCs w:val="24"/>
        </w:rPr>
        <w:t>Freti</w:t>
      </w:r>
      <w:r w:rsidR="00EA69C0" w:rsidRPr="00F62BA4">
        <w:rPr>
          <w:rFonts w:ascii="Times New Roman" w:hAnsi="Times New Roman" w:cs="Times New Roman"/>
          <w:sz w:val="24"/>
          <w:szCs w:val="24"/>
        </w:rPr>
        <w:t xml:space="preserve">lin, or as their armed win is referred, </w:t>
      </w:r>
      <w:r w:rsidR="00EA3FD1" w:rsidRPr="00F62BA4">
        <w:rPr>
          <w:rFonts w:ascii="Times New Roman" w:hAnsi="Times New Roman" w:cs="Times New Roman"/>
          <w:sz w:val="24"/>
          <w:szCs w:val="24"/>
        </w:rPr>
        <w:t>Falintil) and National Council of Timorese Resistance (CNRT)</w:t>
      </w:r>
      <w:r w:rsidRPr="00F62BA4">
        <w:rPr>
          <w:rFonts w:ascii="Times New Roman" w:hAnsi="Times New Roman" w:cs="Times New Roman"/>
          <w:sz w:val="24"/>
          <w:szCs w:val="24"/>
        </w:rPr>
        <w:t xml:space="preserve"> / Indonesia</w:t>
      </w:r>
    </w:p>
    <w:p w:rsidR="00D9746E" w:rsidRPr="00F62BA4" w:rsidRDefault="005B1032" w:rsidP="00D9746E">
      <w:pPr>
        <w:rPr>
          <w:rFonts w:ascii="Times New Roman" w:hAnsi="Times New Roman" w:cs="Times New Roman"/>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2E5C55" w:rsidRPr="00F62BA4" w:rsidRDefault="002E5C55"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East Timor (or Timor Leste) </w:t>
      </w:r>
      <w:r w:rsidR="00EA3FD1" w:rsidRPr="00F62BA4">
        <w:rPr>
          <w:rFonts w:ascii="Times New Roman" w:hAnsi="Times New Roman" w:cs="Times New Roman"/>
          <w:sz w:val="24"/>
          <w:szCs w:val="24"/>
        </w:rPr>
        <w:t>emerged from Portuguese colonialism into an even more dire circumstance with Indonesian occupation.</w:t>
      </w:r>
      <w:r w:rsidR="00057E2E" w:rsidRPr="00F62BA4">
        <w:rPr>
          <w:rFonts w:ascii="Times New Roman" w:hAnsi="Times New Roman" w:cs="Times New Roman"/>
          <w:sz w:val="24"/>
          <w:szCs w:val="24"/>
        </w:rPr>
        <w:t xml:space="preserve"> Considering East Timor to be a part of Indonesia proper,</w:t>
      </w:r>
      <w:r w:rsidR="00057E2E" w:rsidRPr="00F62BA4">
        <w:rPr>
          <w:rStyle w:val="FootnoteReference"/>
          <w:rFonts w:ascii="Times New Roman" w:hAnsi="Times New Roman" w:cs="Times New Roman"/>
          <w:sz w:val="24"/>
          <w:szCs w:val="24"/>
        </w:rPr>
        <w:footnoteReference w:id="233"/>
      </w:r>
      <w:r w:rsidR="00057E2E" w:rsidRPr="00F62BA4">
        <w:rPr>
          <w:rFonts w:ascii="Times New Roman" w:hAnsi="Times New Roman" w:cs="Times New Roman"/>
          <w:sz w:val="24"/>
          <w:szCs w:val="24"/>
        </w:rPr>
        <w:t xml:space="preserve"> Suharto’s Indonesia consistently employed extraordinary brutality in dealing with Timor Leste independence movements, regardless of their own violence.</w:t>
      </w:r>
      <w:r w:rsidR="00057E2E" w:rsidRPr="00F62BA4">
        <w:rPr>
          <w:rStyle w:val="FootnoteReference"/>
          <w:rFonts w:ascii="Times New Roman" w:hAnsi="Times New Roman" w:cs="Times New Roman"/>
          <w:sz w:val="24"/>
          <w:szCs w:val="24"/>
        </w:rPr>
        <w:footnoteReference w:id="234"/>
      </w:r>
      <w:r w:rsidR="00057E2E" w:rsidRPr="00F62BA4">
        <w:rPr>
          <w:rFonts w:ascii="Times New Roman" w:hAnsi="Times New Roman" w:cs="Times New Roman"/>
          <w:sz w:val="24"/>
          <w:szCs w:val="24"/>
        </w:rPr>
        <w:t xml:space="preserve"> In the face of genocidal violence</w:t>
      </w:r>
      <w:r w:rsidR="00EA69C0" w:rsidRPr="00F62BA4">
        <w:rPr>
          <w:rStyle w:val="FootnoteReference"/>
          <w:rFonts w:ascii="Times New Roman" w:hAnsi="Times New Roman" w:cs="Times New Roman"/>
          <w:sz w:val="24"/>
          <w:szCs w:val="24"/>
        </w:rPr>
        <w:footnoteReference w:id="235"/>
      </w:r>
      <w:r w:rsidR="00057E2E" w:rsidRPr="00F62BA4">
        <w:rPr>
          <w:rFonts w:ascii="Times New Roman" w:hAnsi="Times New Roman" w:cs="Times New Roman"/>
          <w:sz w:val="24"/>
          <w:szCs w:val="24"/>
        </w:rPr>
        <w:t xml:space="preserve"> by the incumbents,</w:t>
      </w:r>
      <w:r w:rsidR="00EA69C0" w:rsidRPr="00F62BA4">
        <w:rPr>
          <w:rStyle w:val="FootnoteReference"/>
          <w:rFonts w:ascii="Times New Roman" w:hAnsi="Times New Roman" w:cs="Times New Roman"/>
          <w:sz w:val="24"/>
          <w:szCs w:val="24"/>
        </w:rPr>
        <w:footnoteReference w:id="236"/>
      </w:r>
      <w:r w:rsidR="00057E2E" w:rsidRPr="00F62BA4">
        <w:rPr>
          <w:rFonts w:ascii="Times New Roman" w:hAnsi="Times New Roman" w:cs="Times New Roman"/>
          <w:sz w:val="24"/>
          <w:szCs w:val="24"/>
        </w:rPr>
        <w:t xml:space="preserve"> East Timor’s rebels were able to make </w:t>
      </w:r>
      <w:r w:rsidR="00AC1331" w:rsidRPr="00F62BA4">
        <w:rPr>
          <w:rFonts w:ascii="Times New Roman" w:hAnsi="Times New Roman" w:cs="Times New Roman"/>
          <w:sz w:val="24"/>
          <w:szCs w:val="24"/>
        </w:rPr>
        <w:t>extremely limited</w:t>
      </w:r>
      <w:r w:rsidR="00057E2E" w:rsidRPr="00F62BA4">
        <w:rPr>
          <w:rFonts w:ascii="Times New Roman" w:hAnsi="Times New Roman" w:cs="Times New Roman"/>
          <w:sz w:val="24"/>
          <w:szCs w:val="24"/>
        </w:rPr>
        <w:t xml:space="preserve"> progress in the realm of rebel governance.</w:t>
      </w:r>
    </w:p>
    <w:p w:rsidR="00EA69C0" w:rsidRPr="00F62BA4" w:rsidRDefault="00EA69C0" w:rsidP="00DE6C08">
      <w:pPr>
        <w:rPr>
          <w:rFonts w:ascii="Times New Roman" w:hAnsi="Times New Roman" w:cs="Times New Roman"/>
          <w:sz w:val="24"/>
          <w:szCs w:val="24"/>
        </w:rPr>
      </w:pPr>
      <w:r w:rsidRPr="00F62BA4">
        <w:rPr>
          <w:rFonts w:ascii="Times New Roman" w:hAnsi="Times New Roman" w:cs="Times New Roman"/>
          <w:sz w:val="24"/>
          <w:szCs w:val="24"/>
        </w:rPr>
        <w:tab/>
      </w:r>
      <w:r w:rsidR="00E63E80" w:rsidRPr="00F62BA4">
        <w:rPr>
          <w:rFonts w:ascii="Times New Roman" w:hAnsi="Times New Roman" w:cs="Times New Roman"/>
          <w:sz w:val="24"/>
          <w:szCs w:val="24"/>
        </w:rPr>
        <w:t>Freti</w:t>
      </w:r>
      <w:r w:rsidRPr="00F62BA4">
        <w:rPr>
          <w:rFonts w:ascii="Times New Roman" w:hAnsi="Times New Roman" w:cs="Times New Roman"/>
          <w:sz w:val="24"/>
          <w:szCs w:val="24"/>
        </w:rPr>
        <w:t>lin took advantage of the mountainous territory away from the would-be state’s coast as a base of operations.</w:t>
      </w:r>
      <w:r w:rsidRPr="00F62BA4">
        <w:rPr>
          <w:rStyle w:val="FootnoteReference"/>
          <w:rFonts w:ascii="Times New Roman" w:hAnsi="Times New Roman" w:cs="Times New Roman"/>
          <w:sz w:val="24"/>
          <w:szCs w:val="24"/>
        </w:rPr>
        <w:footnoteReference w:id="237"/>
      </w:r>
      <w:r w:rsidR="00DE69CC" w:rsidRPr="00F62BA4">
        <w:rPr>
          <w:rFonts w:ascii="Times New Roman" w:hAnsi="Times New Roman" w:cs="Times New Roman"/>
          <w:sz w:val="24"/>
          <w:szCs w:val="24"/>
        </w:rPr>
        <w:t xml:space="preserve"> </w:t>
      </w:r>
      <w:r w:rsidR="00B124A6" w:rsidRPr="00F62BA4">
        <w:rPr>
          <w:rFonts w:ascii="Times New Roman" w:hAnsi="Times New Roman" w:cs="Times New Roman"/>
          <w:sz w:val="24"/>
          <w:szCs w:val="24"/>
        </w:rPr>
        <w:t>In spite of this, their ambitious governance agenda, formed before the conflict began,</w:t>
      </w:r>
      <w:r w:rsidR="00B124A6" w:rsidRPr="00F62BA4">
        <w:rPr>
          <w:rStyle w:val="FootnoteReference"/>
          <w:rFonts w:ascii="Times New Roman" w:hAnsi="Times New Roman" w:cs="Times New Roman"/>
          <w:sz w:val="24"/>
          <w:szCs w:val="24"/>
        </w:rPr>
        <w:footnoteReference w:id="238"/>
      </w:r>
      <w:r w:rsidR="00B124A6" w:rsidRPr="00F62BA4">
        <w:rPr>
          <w:rFonts w:ascii="Times New Roman" w:hAnsi="Times New Roman" w:cs="Times New Roman"/>
          <w:sz w:val="24"/>
          <w:szCs w:val="24"/>
        </w:rPr>
        <w:t xml:space="preserve"> pressed forward. </w:t>
      </w:r>
      <w:r w:rsidR="00DE69CC" w:rsidRPr="00F62BA4">
        <w:rPr>
          <w:rFonts w:ascii="Times New Roman" w:hAnsi="Times New Roman" w:cs="Times New Roman"/>
          <w:sz w:val="24"/>
          <w:szCs w:val="24"/>
        </w:rPr>
        <w:t>From their isolated enclaves, they attempted to establish programs of educati</w:t>
      </w:r>
      <w:r w:rsidR="00C53208" w:rsidRPr="00F62BA4">
        <w:rPr>
          <w:rFonts w:ascii="Times New Roman" w:hAnsi="Times New Roman" w:cs="Times New Roman"/>
          <w:sz w:val="24"/>
          <w:szCs w:val="24"/>
        </w:rPr>
        <w:t>on and literacy. Unfortunately, the majority of the population remained in Indonesian controlled territory, which was itself subject to a substantial education program aimed at socializing new generations of complacent Indonesian citizens.</w:t>
      </w:r>
      <w:r w:rsidR="00C53208" w:rsidRPr="00F62BA4">
        <w:rPr>
          <w:rStyle w:val="FootnoteReference"/>
          <w:rFonts w:ascii="Times New Roman" w:hAnsi="Times New Roman" w:cs="Times New Roman"/>
          <w:sz w:val="24"/>
          <w:szCs w:val="24"/>
        </w:rPr>
        <w:footnoteReference w:id="239"/>
      </w:r>
      <w:r w:rsidR="00E63E80" w:rsidRPr="00F62BA4">
        <w:rPr>
          <w:rFonts w:ascii="Times New Roman" w:hAnsi="Times New Roman" w:cs="Times New Roman"/>
          <w:sz w:val="24"/>
          <w:szCs w:val="24"/>
        </w:rPr>
        <w:t xml:space="preserve"> </w:t>
      </w:r>
      <w:r w:rsidR="00FF28D3" w:rsidRPr="00F62BA4">
        <w:rPr>
          <w:rFonts w:ascii="Times New Roman" w:hAnsi="Times New Roman" w:cs="Times New Roman"/>
          <w:sz w:val="24"/>
          <w:szCs w:val="24"/>
        </w:rPr>
        <w:t xml:space="preserve">Beyond these programs, though, there is little evidence of </w:t>
      </w:r>
      <w:r w:rsidR="00AC1331" w:rsidRPr="00F62BA4">
        <w:rPr>
          <w:rFonts w:ascii="Times New Roman" w:hAnsi="Times New Roman" w:cs="Times New Roman"/>
          <w:sz w:val="24"/>
          <w:szCs w:val="24"/>
        </w:rPr>
        <w:t>rebel governance as Fretilin clung to life for the first decade of the conflict.</w:t>
      </w:r>
    </w:p>
    <w:p w:rsidR="00D73A0F" w:rsidRPr="00F62BA4" w:rsidRDefault="00AC1331" w:rsidP="00612D40">
      <w:pPr>
        <w:rPr>
          <w:rFonts w:ascii="Times New Roman" w:hAnsi="Times New Roman" w:cs="Times New Roman"/>
          <w:sz w:val="24"/>
          <w:szCs w:val="24"/>
        </w:rPr>
      </w:pPr>
      <w:r w:rsidRPr="00F62BA4">
        <w:rPr>
          <w:rFonts w:ascii="Times New Roman" w:hAnsi="Times New Roman" w:cs="Times New Roman"/>
          <w:sz w:val="24"/>
          <w:szCs w:val="24"/>
        </w:rPr>
        <w:tab/>
      </w:r>
      <w:r w:rsidR="00ED17D0" w:rsidRPr="00F62BA4">
        <w:rPr>
          <w:rFonts w:ascii="Times New Roman" w:hAnsi="Times New Roman" w:cs="Times New Roman"/>
          <w:sz w:val="24"/>
          <w:szCs w:val="24"/>
        </w:rPr>
        <w:t>Beginning in the late 1980’s and continuing until the conflict’s close in 1999, other groups (including the CNRT and the increasingly independent Falintil) began to more directly and actively participate in the effort to secure Timorese independence.</w:t>
      </w:r>
      <w:r w:rsidR="00ED17D0" w:rsidRPr="00F62BA4">
        <w:rPr>
          <w:rStyle w:val="FootnoteReference"/>
          <w:rFonts w:ascii="Times New Roman" w:hAnsi="Times New Roman" w:cs="Times New Roman"/>
          <w:sz w:val="24"/>
          <w:szCs w:val="24"/>
        </w:rPr>
        <w:footnoteReference w:id="240"/>
      </w:r>
      <w:r w:rsidR="00D73A0F" w:rsidRPr="00F62BA4">
        <w:rPr>
          <w:rFonts w:ascii="Times New Roman" w:hAnsi="Times New Roman" w:cs="Times New Roman"/>
          <w:sz w:val="24"/>
          <w:szCs w:val="24"/>
        </w:rPr>
        <w:t xml:space="preserve"> Interestingly, this coincided with the development of a more concrete system of parallel governance in East Timor. This “Clandestine System” supported resistance fighters and aided communication within the </w:t>
      </w:r>
      <w:r w:rsidR="00D73A0F" w:rsidRPr="00F62BA4">
        <w:rPr>
          <w:rFonts w:ascii="Times New Roman" w:hAnsi="Times New Roman" w:cs="Times New Roman"/>
          <w:sz w:val="24"/>
          <w:szCs w:val="24"/>
        </w:rPr>
        <w:lastRenderedPageBreak/>
        <w:t>movement.</w:t>
      </w:r>
      <w:r w:rsidR="00D73A0F" w:rsidRPr="00F62BA4">
        <w:rPr>
          <w:rStyle w:val="FootnoteReference"/>
          <w:rFonts w:ascii="Times New Roman" w:hAnsi="Times New Roman" w:cs="Times New Roman"/>
          <w:sz w:val="24"/>
          <w:szCs w:val="24"/>
        </w:rPr>
        <w:footnoteReference w:id="241"/>
      </w:r>
      <w:r w:rsidR="00D73A0F" w:rsidRPr="00F62BA4">
        <w:rPr>
          <w:rFonts w:ascii="Times New Roman" w:hAnsi="Times New Roman" w:cs="Times New Roman"/>
          <w:sz w:val="24"/>
          <w:szCs w:val="24"/>
        </w:rPr>
        <w:t xml:space="preserve"> More importantly, this parallel system of governance was meant to recruit support among the population with the aid of leaders selected from among their number </w:t>
      </w:r>
      <w:r w:rsidR="00D73A0F" w:rsidRPr="00F62BA4">
        <w:rPr>
          <w:rFonts w:ascii="Times New Roman" w:hAnsi="Times New Roman" w:cs="Times New Roman"/>
          <w:i/>
          <w:sz w:val="24"/>
          <w:szCs w:val="24"/>
        </w:rPr>
        <w:t>by</w:t>
      </w:r>
      <w:r w:rsidR="00D73A0F" w:rsidRPr="00F62BA4">
        <w:rPr>
          <w:rFonts w:ascii="Times New Roman" w:hAnsi="Times New Roman" w:cs="Times New Roman"/>
          <w:sz w:val="24"/>
          <w:szCs w:val="24"/>
        </w:rPr>
        <w:t xml:space="preserve"> their number (even though not by way of formal elections).</w:t>
      </w:r>
      <w:r w:rsidR="00D73A0F" w:rsidRPr="00F62BA4">
        <w:rPr>
          <w:rStyle w:val="FootnoteReference"/>
          <w:rFonts w:ascii="Times New Roman" w:hAnsi="Times New Roman" w:cs="Times New Roman"/>
          <w:sz w:val="24"/>
          <w:szCs w:val="24"/>
        </w:rPr>
        <w:t xml:space="preserve"> </w:t>
      </w:r>
      <w:r w:rsidR="00D73A0F" w:rsidRPr="00F62BA4">
        <w:rPr>
          <w:rStyle w:val="FootnoteReference"/>
          <w:rFonts w:ascii="Times New Roman" w:hAnsi="Times New Roman" w:cs="Times New Roman"/>
          <w:sz w:val="24"/>
          <w:szCs w:val="24"/>
        </w:rPr>
        <w:footnoteReference w:id="242"/>
      </w:r>
      <w:r w:rsidR="00D73A0F" w:rsidRPr="00F62BA4">
        <w:rPr>
          <w:rFonts w:ascii="Times New Roman" w:hAnsi="Times New Roman" w:cs="Times New Roman"/>
          <w:sz w:val="24"/>
          <w:szCs w:val="24"/>
        </w:rPr>
        <w:t xml:space="preserve"> </w:t>
      </w:r>
    </w:p>
    <w:p w:rsidR="00C307EB" w:rsidRPr="00F62BA4" w:rsidRDefault="002E5C55" w:rsidP="00DE6C08">
      <w:pPr>
        <w:rPr>
          <w:rFonts w:ascii="Times New Roman" w:hAnsi="Times New Roman" w:cs="Times New Roman"/>
          <w:b/>
          <w:sz w:val="24"/>
          <w:szCs w:val="24"/>
        </w:rPr>
      </w:pPr>
      <w:r w:rsidRPr="00F62BA4">
        <w:rPr>
          <w:rFonts w:ascii="Times New Roman" w:hAnsi="Times New Roman" w:cs="Times New Roman"/>
          <w:b/>
          <w:sz w:val="24"/>
          <w:szCs w:val="24"/>
        </w:rPr>
        <w:t>Indonesia (</w:t>
      </w:r>
      <w:r w:rsidR="00C307EB" w:rsidRPr="00F62BA4">
        <w:rPr>
          <w:rFonts w:ascii="Times New Roman" w:hAnsi="Times New Roman" w:cs="Times New Roman"/>
          <w:b/>
          <w:sz w:val="24"/>
          <w:szCs w:val="24"/>
        </w:rPr>
        <w:t>1990-1991</w:t>
      </w:r>
      <w:r w:rsidRPr="00F62BA4">
        <w:rPr>
          <w:rFonts w:ascii="Times New Roman" w:hAnsi="Times New Roman" w:cs="Times New Roman"/>
          <w:b/>
          <w:sz w:val="24"/>
          <w:szCs w:val="24"/>
        </w:rPr>
        <w:t>)</w:t>
      </w:r>
    </w:p>
    <w:p w:rsidR="002E5C55" w:rsidRPr="00F62BA4" w:rsidRDefault="002E5C55" w:rsidP="00DE6C0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C8084A" w:rsidRPr="00F62BA4">
        <w:rPr>
          <w:rFonts w:ascii="Times New Roman" w:hAnsi="Times New Roman" w:cs="Times New Roman"/>
          <w:sz w:val="24"/>
          <w:szCs w:val="24"/>
        </w:rPr>
        <w:t>Free Aceh Movement / Indonesia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C8084A" w:rsidRPr="00F62BA4" w:rsidRDefault="00C8084A" w:rsidP="00DE6C08">
      <w:pPr>
        <w:rPr>
          <w:rFonts w:ascii="Times New Roman" w:hAnsi="Times New Roman" w:cs="Times New Roman"/>
          <w:sz w:val="24"/>
          <w:szCs w:val="24"/>
        </w:rPr>
      </w:pPr>
      <w:r w:rsidRPr="00F62BA4">
        <w:rPr>
          <w:rFonts w:ascii="Times New Roman" w:hAnsi="Times New Roman" w:cs="Times New Roman"/>
          <w:sz w:val="24"/>
          <w:szCs w:val="24"/>
        </w:rPr>
        <w:tab/>
        <w:t>Concomitantly with the</w:t>
      </w:r>
      <w:r w:rsidR="00751DD1" w:rsidRPr="00F62BA4">
        <w:rPr>
          <w:rFonts w:ascii="Times New Roman" w:hAnsi="Times New Roman" w:cs="Times New Roman"/>
          <w:sz w:val="24"/>
          <w:szCs w:val="24"/>
        </w:rPr>
        <w:t xml:space="preserve"> then</w:t>
      </w:r>
      <w:r w:rsidRPr="00F62BA4">
        <w:rPr>
          <w:rFonts w:ascii="Times New Roman" w:hAnsi="Times New Roman" w:cs="Times New Roman"/>
          <w:sz w:val="24"/>
          <w:szCs w:val="24"/>
        </w:rPr>
        <w:t xml:space="preserve"> ongoing conflict in East Timor, </w:t>
      </w:r>
      <w:r w:rsidR="00751DD1" w:rsidRPr="00F62BA4">
        <w:rPr>
          <w:rFonts w:ascii="Times New Roman" w:hAnsi="Times New Roman" w:cs="Times New Roman"/>
          <w:sz w:val="24"/>
          <w:szCs w:val="24"/>
        </w:rPr>
        <w:t>separatists in the Free Aceh Movement were engaged in a struggle to liberate their small, eponymous corner of Sumatra.</w:t>
      </w:r>
      <w:r w:rsidR="00751DD1" w:rsidRPr="00F62BA4">
        <w:rPr>
          <w:rStyle w:val="FootnoteReference"/>
          <w:rFonts w:ascii="Times New Roman" w:hAnsi="Times New Roman" w:cs="Times New Roman"/>
          <w:sz w:val="24"/>
          <w:szCs w:val="24"/>
        </w:rPr>
        <w:footnoteReference w:id="243"/>
      </w:r>
      <w:r w:rsidR="00751DD1" w:rsidRPr="00F62BA4">
        <w:rPr>
          <w:rFonts w:ascii="Times New Roman" w:hAnsi="Times New Roman" w:cs="Times New Roman"/>
          <w:sz w:val="24"/>
          <w:szCs w:val="24"/>
        </w:rPr>
        <w:t xml:space="preserve"> Although the movement originated in the 1970’s, emerging from some elements which had survived the Darul Islam rebellion, its impact was marginal for quite some time. Indonesia authorities had effectively eliminated GAM’s presence from the country in 1979, devoting counter-insurgency resources in spite of its still marginal size. By 1989, though, the movement had recovered, sporting hundreds of foreign-trained fighters in the place of the marginal presence it had previously. This led to the Jaring Mereh operation—“Red Net” in English.</w:t>
      </w:r>
    </w:p>
    <w:p w:rsidR="00751DD1" w:rsidRPr="00F62BA4" w:rsidRDefault="00751DD1" w:rsidP="00DE6C08">
      <w:pPr>
        <w:rPr>
          <w:rFonts w:ascii="Times New Roman" w:hAnsi="Times New Roman" w:cs="Times New Roman"/>
          <w:sz w:val="24"/>
          <w:szCs w:val="24"/>
        </w:rPr>
      </w:pPr>
      <w:r w:rsidRPr="00F62BA4">
        <w:rPr>
          <w:rFonts w:ascii="Times New Roman" w:hAnsi="Times New Roman" w:cs="Times New Roman"/>
          <w:sz w:val="24"/>
          <w:szCs w:val="24"/>
        </w:rPr>
        <w:tab/>
      </w:r>
      <w:r w:rsidR="009F7D87" w:rsidRPr="00F62BA4">
        <w:rPr>
          <w:rFonts w:ascii="Times New Roman" w:hAnsi="Times New Roman" w:cs="Times New Roman"/>
          <w:sz w:val="24"/>
          <w:szCs w:val="24"/>
        </w:rPr>
        <w:t>The movement had established something of a government shortly after its formation.</w:t>
      </w:r>
      <w:r w:rsidR="009F7D87" w:rsidRPr="00F62BA4">
        <w:rPr>
          <w:rStyle w:val="FootnoteReference"/>
          <w:rFonts w:ascii="Times New Roman" w:hAnsi="Times New Roman" w:cs="Times New Roman"/>
          <w:sz w:val="24"/>
          <w:szCs w:val="24"/>
        </w:rPr>
        <w:footnoteReference w:id="244"/>
      </w:r>
      <w:r w:rsidR="009F7D87" w:rsidRPr="00F62BA4">
        <w:rPr>
          <w:rFonts w:ascii="Times New Roman" w:hAnsi="Times New Roman" w:cs="Times New Roman"/>
          <w:sz w:val="24"/>
          <w:szCs w:val="24"/>
        </w:rPr>
        <w:t xml:space="preserve"> However, this existed more in theory than in practice; beyond a promise of popular choice of regime, there was nothing resembling a feedback mechanism in place here, even as the movement relied heavily upon popular support. The impact of Aceh governance is further diminished by the brutality and completeness of its defeat in 1991—although many elements of the movement were able to flee into exile, its active presence in Aceh was effectively ended (for a time).</w:t>
      </w:r>
      <w:r w:rsidR="009F7D87" w:rsidRPr="00F62BA4">
        <w:rPr>
          <w:rStyle w:val="FootnoteReference"/>
          <w:rFonts w:ascii="Times New Roman" w:hAnsi="Times New Roman" w:cs="Times New Roman"/>
          <w:sz w:val="24"/>
          <w:szCs w:val="24"/>
        </w:rPr>
        <w:footnoteReference w:id="245"/>
      </w:r>
    </w:p>
    <w:p w:rsidR="00C307EB" w:rsidRPr="00F62BA4" w:rsidRDefault="002E5C55" w:rsidP="00DE6C08">
      <w:pPr>
        <w:rPr>
          <w:rFonts w:ascii="Times New Roman" w:hAnsi="Times New Roman" w:cs="Times New Roman"/>
          <w:b/>
          <w:sz w:val="24"/>
          <w:szCs w:val="24"/>
        </w:rPr>
      </w:pPr>
      <w:r w:rsidRPr="00F62BA4">
        <w:rPr>
          <w:rFonts w:ascii="Times New Roman" w:hAnsi="Times New Roman" w:cs="Times New Roman"/>
          <w:b/>
          <w:sz w:val="24"/>
          <w:szCs w:val="24"/>
        </w:rPr>
        <w:t>Indonesia (</w:t>
      </w:r>
      <w:r w:rsidR="00C307EB" w:rsidRPr="00F62BA4">
        <w:rPr>
          <w:rFonts w:ascii="Times New Roman" w:hAnsi="Times New Roman" w:cs="Times New Roman"/>
          <w:b/>
          <w:sz w:val="24"/>
          <w:szCs w:val="24"/>
        </w:rPr>
        <w:t>1999-2002</w:t>
      </w:r>
      <w:r w:rsidRPr="00F62BA4">
        <w:rPr>
          <w:rFonts w:ascii="Times New Roman" w:hAnsi="Times New Roman" w:cs="Times New Roman"/>
          <w:b/>
          <w:sz w:val="24"/>
          <w:szCs w:val="24"/>
        </w:rPr>
        <w:t>)</w:t>
      </w:r>
    </w:p>
    <w:p w:rsidR="002E5C55" w:rsidRPr="00F62BA4" w:rsidRDefault="002E5C55" w:rsidP="00DE6C08">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C8084A" w:rsidRPr="00F62BA4">
        <w:rPr>
          <w:rFonts w:ascii="Times New Roman" w:hAnsi="Times New Roman" w:cs="Times New Roman"/>
          <w:sz w:val="24"/>
          <w:szCs w:val="24"/>
        </w:rPr>
        <w:t>Free Aceh Movement / Indonesia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8D10E2" w:rsidRPr="00F62BA4" w:rsidRDefault="00C4125E" w:rsidP="00DE6C08">
      <w:pPr>
        <w:rPr>
          <w:rFonts w:ascii="Times New Roman" w:hAnsi="Times New Roman" w:cs="Times New Roman"/>
          <w:sz w:val="24"/>
          <w:szCs w:val="24"/>
        </w:rPr>
      </w:pPr>
      <w:r w:rsidRPr="00F62BA4">
        <w:rPr>
          <w:rFonts w:ascii="Times New Roman" w:hAnsi="Times New Roman" w:cs="Times New Roman"/>
          <w:sz w:val="24"/>
          <w:szCs w:val="24"/>
        </w:rPr>
        <w:tab/>
        <w:t>The Free Aceh Movement spotted an opportunity to reconstitute itself after Suharto’s departure from power.</w:t>
      </w:r>
      <w:r w:rsidR="008D10E2" w:rsidRPr="00F62BA4">
        <w:rPr>
          <w:rFonts w:ascii="Times New Roman" w:hAnsi="Times New Roman" w:cs="Times New Roman"/>
          <w:sz w:val="24"/>
          <w:szCs w:val="24"/>
        </w:rPr>
        <w:t xml:space="preserve"> </w:t>
      </w:r>
      <w:r w:rsidR="002B23B5" w:rsidRPr="00F62BA4">
        <w:rPr>
          <w:rFonts w:ascii="Times New Roman" w:hAnsi="Times New Roman" w:cs="Times New Roman"/>
          <w:sz w:val="24"/>
          <w:szCs w:val="24"/>
        </w:rPr>
        <w:t>This second chapter also</w:t>
      </w:r>
      <w:r w:rsidR="00B007CD" w:rsidRPr="00F62BA4">
        <w:rPr>
          <w:rFonts w:ascii="Times New Roman" w:hAnsi="Times New Roman" w:cs="Times New Roman"/>
          <w:sz w:val="24"/>
          <w:szCs w:val="24"/>
        </w:rPr>
        <w:t xml:space="preserve"> saw more</w:t>
      </w:r>
      <w:r w:rsidR="002B23B5" w:rsidRPr="00F62BA4">
        <w:rPr>
          <w:rFonts w:ascii="Times New Roman" w:hAnsi="Times New Roman" w:cs="Times New Roman"/>
          <w:sz w:val="24"/>
          <w:szCs w:val="24"/>
        </w:rPr>
        <w:t xml:space="preserve"> opportunities to develop</w:t>
      </w:r>
      <w:r w:rsidR="00B007CD" w:rsidRPr="00F62BA4">
        <w:rPr>
          <w:rFonts w:ascii="Times New Roman" w:hAnsi="Times New Roman" w:cs="Times New Roman"/>
          <w:sz w:val="24"/>
          <w:szCs w:val="24"/>
        </w:rPr>
        <w:t xml:space="preserve"> </w:t>
      </w:r>
      <w:r w:rsidR="002B23B5" w:rsidRPr="00F62BA4">
        <w:rPr>
          <w:rFonts w:ascii="Times New Roman" w:hAnsi="Times New Roman" w:cs="Times New Roman"/>
          <w:sz w:val="24"/>
          <w:szCs w:val="24"/>
        </w:rPr>
        <w:t>manifestations of</w:t>
      </w:r>
      <w:r w:rsidR="00B007CD" w:rsidRPr="00F62BA4">
        <w:rPr>
          <w:rFonts w:ascii="Times New Roman" w:hAnsi="Times New Roman" w:cs="Times New Roman"/>
          <w:sz w:val="24"/>
          <w:szCs w:val="24"/>
        </w:rPr>
        <w:t xml:space="preserve"> rebel governance. For instance, the movement was successful in establishing a parallel legal system.</w:t>
      </w:r>
      <w:r w:rsidR="00B007CD" w:rsidRPr="00F62BA4">
        <w:rPr>
          <w:rStyle w:val="FootnoteReference"/>
          <w:rFonts w:ascii="Times New Roman" w:hAnsi="Times New Roman" w:cs="Times New Roman"/>
          <w:sz w:val="24"/>
          <w:szCs w:val="24"/>
        </w:rPr>
        <w:footnoteReference w:id="246"/>
      </w:r>
      <w:r w:rsidR="00B007CD" w:rsidRPr="00F62BA4">
        <w:rPr>
          <w:rFonts w:ascii="Times New Roman" w:hAnsi="Times New Roman" w:cs="Times New Roman"/>
          <w:sz w:val="24"/>
          <w:szCs w:val="24"/>
        </w:rPr>
        <w:t xml:space="preserve"> </w:t>
      </w:r>
      <w:r w:rsidR="00483868" w:rsidRPr="00F62BA4">
        <w:rPr>
          <w:rFonts w:ascii="Times New Roman" w:hAnsi="Times New Roman" w:cs="Times New Roman"/>
          <w:sz w:val="24"/>
          <w:szCs w:val="24"/>
        </w:rPr>
        <w:t>Still, in spite of the appearance of institutions suggesting as much, law and order was not forthcoming. Neither Indonesian nor GAM forces</w:t>
      </w:r>
      <w:r w:rsidR="008A62B5" w:rsidRPr="00F62BA4">
        <w:rPr>
          <w:rFonts w:ascii="Times New Roman" w:hAnsi="Times New Roman" w:cs="Times New Roman"/>
          <w:sz w:val="24"/>
          <w:szCs w:val="24"/>
        </w:rPr>
        <w:t xml:space="preserve"> were terribly well-</w:t>
      </w:r>
      <w:r w:rsidR="008A62B5" w:rsidRPr="00F62BA4">
        <w:rPr>
          <w:rFonts w:ascii="Times New Roman" w:hAnsi="Times New Roman" w:cs="Times New Roman"/>
          <w:sz w:val="24"/>
          <w:szCs w:val="24"/>
        </w:rPr>
        <w:lastRenderedPageBreak/>
        <w:t>disciplined</w:t>
      </w:r>
      <w:r w:rsidR="00483868" w:rsidRPr="00F62BA4">
        <w:rPr>
          <w:rFonts w:ascii="Times New Roman" w:hAnsi="Times New Roman" w:cs="Times New Roman"/>
          <w:sz w:val="24"/>
          <w:szCs w:val="24"/>
        </w:rPr>
        <w:t xml:space="preserve"> and human rights abuses were common.</w:t>
      </w:r>
      <w:r w:rsidR="008A62B5" w:rsidRPr="00F62BA4">
        <w:rPr>
          <w:rFonts w:ascii="Times New Roman" w:hAnsi="Times New Roman" w:cs="Times New Roman"/>
          <w:sz w:val="24"/>
          <w:szCs w:val="24"/>
        </w:rPr>
        <w:t xml:space="preserve"> Moreover, the “law” in law and order was subject to substantial variance—because of the latitude GAM gave to its commanders, some areas were subject to morality policing in the Islamist mold.</w:t>
      </w:r>
      <w:r w:rsidR="008A62B5" w:rsidRPr="00F62BA4">
        <w:rPr>
          <w:rStyle w:val="FootnoteReference"/>
          <w:rFonts w:ascii="Times New Roman" w:hAnsi="Times New Roman" w:cs="Times New Roman"/>
          <w:sz w:val="24"/>
          <w:szCs w:val="24"/>
        </w:rPr>
        <w:footnoteReference w:id="247"/>
      </w:r>
      <w:r w:rsidR="0058678E" w:rsidRPr="00F62BA4">
        <w:rPr>
          <w:rFonts w:ascii="Times New Roman" w:hAnsi="Times New Roman" w:cs="Times New Roman"/>
          <w:sz w:val="24"/>
          <w:szCs w:val="24"/>
        </w:rPr>
        <w:t xml:space="preserve"> Others were not, though, as the particular role of Islam in GAM was open to a great deal of interpretation.</w:t>
      </w:r>
      <w:r w:rsidR="0058678E" w:rsidRPr="00F62BA4">
        <w:rPr>
          <w:rStyle w:val="FootnoteReference"/>
          <w:rFonts w:ascii="Times New Roman" w:hAnsi="Times New Roman" w:cs="Times New Roman"/>
          <w:sz w:val="24"/>
          <w:szCs w:val="24"/>
        </w:rPr>
        <w:footnoteReference w:id="248"/>
      </w:r>
    </w:p>
    <w:p w:rsidR="00BF7A26" w:rsidRPr="00F62BA4" w:rsidRDefault="00BF7A26" w:rsidP="00DE6C08">
      <w:pPr>
        <w:rPr>
          <w:rFonts w:ascii="Times New Roman" w:hAnsi="Times New Roman" w:cs="Times New Roman"/>
          <w:sz w:val="24"/>
          <w:szCs w:val="24"/>
        </w:rPr>
      </w:pPr>
      <w:r w:rsidRPr="00F62BA4">
        <w:rPr>
          <w:rFonts w:ascii="Times New Roman" w:hAnsi="Times New Roman" w:cs="Times New Roman"/>
          <w:sz w:val="24"/>
          <w:szCs w:val="24"/>
        </w:rPr>
        <w:tab/>
        <w:t>Public goods are another matter. Public good provision on behalf of the state continued in GAM-controlled territory,</w:t>
      </w:r>
      <w:r w:rsidRPr="00F62BA4">
        <w:rPr>
          <w:rStyle w:val="FootnoteReference"/>
          <w:rFonts w:ascii="Times New Roman" w:hAnsi="Times New Roman" w:cs="Times New Roman"/>
          <w:sz w:val="24"/>
          <w:szCs w:val="24"/>
        </w:rPr>
        <w:footnoteReference w:id="249"/>
      </w:r>
      <w:r w:rsidRPr="00F62BA4">
        <w:rPr>
          <w:rFonts w:ascii="Times New Roman" w:hAnsi="Times New Roman" w:cs="Times New Roman"/>
          <w:sz w:val="24"/>
          <w:szCs w:val="24"/>
        </w:rPr>
        <w:t xml:space="preserve"> it did not do so without interruption.</w:t>
      </w:r>
      <w:r w:rsidRPr="00F62BA4">
        <w:rPr>
          <w:rStyle w:val="FootnoteReference"/>
          <w:rFonts w:ascii="Times New Roman" w:hAnsi="Times New Roman" w:cs="Times New Roman"/>
          <w:sz w:val="24"/>
          <w:szCs w:val="24"/>
        </w:rPr>
        <w:footnoteReference w:id="250"/>
      </w:r>
      <w:r w:rsidRPr="00F62BA4">
        <w:rPr>
          <w:rFonts w:ascii="Times New Roman" w:hAnsi="Times New Roman" w:cs="Times New Roman"/>
          <w:sz w:val="24"/>
          <w:szCs w:val="24"/>
        </w:rPr>
        <w:t xml:space="preserve"> Dozens of teachers were killed between 1998 and 2002, and hundreds more assaulted. Indonesian security forces are to blame for a substantial portion of these, but so are the GAM—they believe that the state education system has been an important tool of marginalizing the Aceh people’s uniqueness. Kirsten Schulze susp</w:t>
      </w:r>
      <w:r w:rsidR="00647C1B" w:rsidRPr="00F62BA4">
        <w:rPr>
          <w:rFonts w:ascii="Times New Roman" w:hAnsi="Times New Roman" w:cs="Times New Roman"/>
          <w:sz w:val="24"/>
          <w:szCs w:val="24"/>
        </w:rPr>
        <w:t>ects that the GAM may have been motivated by the fact that many of the alternatives to state education were GAM-controlled. As such, even though the GAM was participating in destroying the state’s capacity to provide public goods, they were also engaged in the practice—at least where education was concerned.</w:t>
      </w:r>
    </w:p>
    <w:p w:rsidR="00514149" w:rsidRPr="00F62BA4" w:rsidRDefault="00514149" w:rsidP="00DE6C08">
      <w:pPr>
        <w:rPr>
          <w:rFonts w:ascii="Times New Roman" w:hAnsi="Times New Roman" w:cs="Times New Roman"/>
          <w:sz w:val="24"/>
          <w:szCs w:val="24"/>
        </w:rPr>
      </w:pPr>
      <w:r w:rsidRPr="00F62BA4">
        <w:rPr>
          <w:rFonts w:ascii="Times New Roman" w:hAnsi="Times New Roman" w:cs="Times New Roman"/>
          <w:sz w:val="24"/>
          <w:szCs w:val="24"/>
        </w:rPr>
        <w:tab/>
        <w:t>Health care is more difficult to discern. On one hand, Mampilly notes that GAM was content to allow the extant health care structure to operate.</w:t>
      </w:r>
      <w:r w:rsidRPr="00F62BA4">
        <w:rPr>
          <w:rStyle w:val="FootnoteReference"/>
          <w:rFonts w:ascii="Times New Roman" w:hAnsi="Times New Roman" w:cs="Times New Roman"/>
          <w:sz w:val="24"/>
          <w:szCs w:val="24"/>
        </w:rPr>
        <w:footnoteReference w:id="251"/>
      </w:r>
      <w:r w:rsidRPr="00F62BA4">
        <w:rPr>
          <w:rFonts w:ascii="Times New Roman" w:hAnsi="Times New Roman" w:cs="Times New Roman"/>
          <w:sz w:val="24"/>
          <w:szCs w:val="24"/>
        </w:rPr>
        <w:t xml:space="preserve"> On the other, Damien Kingsbury notes that in addition to most of the education in the region, GAM had taken on a majority of the region’s health care responsibilities.</w:t>
      </w:r>
      <w:r w:rsidRPr="00F62BA4">
        <w:rPr>
          <w:rStyle w:val="FootnoteReference"/>
          <w:rFonts w:ascii="Times New Roman" w:hAnsi="Times New Roman" w:cs="Times New Roman"/>
          <w:sz w:val="24"/>
          <w:szCs w:val="24"/>
        </w:rPr>
        <w:footnoteReference w:id="252"/>
      </w:r>
      <w:r w:rsidRPr="00F62BA4">
        <w:rPr>
          <w:rFonts w:ascii="Times New Roman" w:hAnsi="Times New Roman" w:cs="Times New Roman"/>
          <w:sz w:val="24"/>
          <w:szCs w:val="24"/>
        </w:rPr>
        <w:t xml:space="preserve"> These statements, taken together are somewhat problematic. They are further clouded by the fact that as a political party after the war, the movement called for free education and health care as major planks of its platform.</w:t>
      </w:r>
      <w:r w:rsidRPr="00F62BA4">
        <w:rPr>
          <w:rStyle w:val="FootnoteReference"/>
          <w:rFonts w:ascii="Times New Roman" w:hAnsi="Times New Roman" w:cs="Times New Roman"/>
          <w:sz w:val="24"/>
          <w:szCs w:val="24"/>
        </w:rPr>
        <w:footnoteReference w:id="253"/>
      </w:r>
      <w:r w:rsidRPr="00F62BA4">
        <w:rPr>
          <w:rFonts w:ascii="Times New Roman" w:hAnsi="Times New Roman" w:cs="Times New Roman"/>
          <w:sz w:val="24"/>
          <w:szCs w:val="24"/>
        </w:rPr>
        <w:t xml:space="preserve"> This leads one to a few conclusions. First, it seems that GAM did administer public good provision to some degree</w:t>
      </w:r>
      <w:r w:rsidR="001002E3" w:rsidRPr="00F62BA4">
        <w:rPr>
          <w:rFonts w:ascii="Times New Roman" w:hAnsi="Times New Roman" w:cs="Times New Roman"/>
          <w:sz w:val="24"/>
          <w:szCs w:val="24"/>
        </w:rPr>
        <w:t>, even if this administration involved some degree of cooption</w:t>
      </w:r>
      <w:r w:rsidRPr="00F62BA4">
        <w:rPr>
          <w:rFonts w:ascii="Times New Roman" w:hAnsi="Times New Roman" w:cs="Times New Roman"/>
          <w:sz w:val="24"/>
          <w:szCs w:val="24"/>
        </w:rPr>
        <w:t>.</w:t>
      </w:r>
      <w:r w:rsidR="001002E3" w:rsidRPr="00F62BA4">
        <w:rPr>
          <w:rStyle w:val="FootnoteReference"/>
          <w:rFonts w:ascii="Times New Roman" w:hAnsi="Times New Roman" w:cs="Times New Roman"/>
          <w:sz w:val="24"/>
          <w:szCs w:val="24"/>
        </w:rPr>
        <w:footnoteReference w:id="254"/>
      </w:r>
      <w:r w:rsidRPr="00F62BA4">
        <w:rPr>
          <w:rFonts w:ascii="Times New Roman" w:hAnsi="Times New Roman" w:cs="Times New Roman"/>
          <w:sz w:val="24"/>
          <w:szCs w:val="24"/>
        </w:rPr>
        <w:t xml:space="preserve"> This is clearer for education than for healthcare, but the point stands. Second, they did not administer the sum total of public good provision within Aceh, in spite o</w:t>
      </w:r>
      <w:r w:rsidR="002B23B5" w:rsidRPr="00F62BA4">
        <w:rPr>
          <w:rFonts w:ascii="Times New Roman" w:hAnsi="Times New Roman" w:cs="Times New Roman"/>
          <w:sz w:val="24"/>
          <w:szCs w:val="24"/>
        </w:rPr>
        <w:t>f their dominance of the region.</w:t>
      </w:r>
      <w:r w:rsidRPr="00F62BA4">
        <w:rPr>
          <w:rStyle w:val="FootnoteReference"/>
          <w:rFonts w:ascii="Times New Roman" w:hAnsi="Times New Roman" w:cs="Times New Roman"/>
          <w:sz w:val="24"/>
          <w:szCs w:val="24"/>
        </w:rPr>
        <w:footnoteReference w:id="255"/>
      </w:r>
      <w:r w:rsidR="002B23B5" w:rsidRPr="00F62BA4">
        <w:rPr>
          <w:rFonts w:ascii="Times New Roman" w:hAnsi="Times New Roman" w:cs="Times New Roman"/>
          <w:sz w:val="24"/>
          <w:szCs w:val="24"/>
        </w:rPr>
        <w:t xml:space="preserve"> This means that the Indonesian government maintained some control over its provision. At the same time, the destruction of facilities and calls from the Aceh Party (PA) to establish greater access to public services suggests that their provision was not as robust as it might be</w:t>
      </w:r>
      <w:r w:rsidR="005C3871" w:rsidRPr="00F62BA4">
        <w:rPr>
          <w:rFonts w:ascii="Times New Roman" w:hAnsi="Times New Roman" w:cs="Times New Roman"/>
          <w:sz w:val="24"/>
          <w:szCs w:val="24"/>
        </w:rPr>
        <w:t>, a conclusion supported by government-reported statistics</w:t>
      </w:r>
      <w:r w:rsidR="002B23B5" w:rsidRPr="00F62BA4">
        <w:rPr>
          <w:rFonts w:ascii="Times New Roman" w:hAnsi="Times New Roman" w:cs="Times New Roman"/>
          <w:sz w:val="24"/>
          <w:szCs w:val="24"/>
        </w:rPr>
        <w:t>.</w:t>
      </w:r>
      <w:r w:rsidR="005C3871" w:rsidRPr="00F62BA4">
        <w:rPr>
          <w:rStyle w:val="FootnoteReference"/>
          <w:rFonts w:ascii="Times New Roman" w:hAnsi="Times New Roman" w:cs="Times New Roman"/>
          <w:sz w:val="24"/>
          <w:szCs w:val="24"/>
        </w:rPr>
        <w:footnoteReference w:id="256"/>
      </w:r>
    </w:p>
    <w:p w:rsidR="00B20DF5" w:rsidRPr="00F62BA4" w:rsidRDefault="0058678E" w:rsidP="00DE6C08">
      <w:pPr>
        <w:rPr>
          <w:rFonts w:ascii="Times New Roman" w:hAnsi="Times New Roman" w:cs="Times New Roman"/>
          <w:sz w:val="24"/>
          <w:szCs w:val="24"/>
        </w:rPr>
      </w:pPr>
      <w:r w:rsidRPr="00F62BA4">
        <w:rPr>
          <w:rFonts w:ascii="Times New Roman" w:hAnsi="Times New Roman" w:cs="Times New Roman"/>
          <w:sz w:val="24"/>
          <w:szCs w:val="24"/>
        </w:rPr>
        <w:lastRenderedPageBreak/>
        <w:tab/>
        <w:t xml:space="preserve">The presence of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within GAM is</w:t>
      </w:r>
      <w:r w:rsidR="002B23B5" w:rsidRPr="00F62BA4">
        <w:rPr>
          <w:rFonts w:ascii="Times New Roman" w:hAnsi="Times New Roman" w:cs="Times New Roman"/>
          <w:sz w:val="24"/>
          <w:szCs w:val="24"/>
        </w:rPr>
        <w:t xml:space="preserve"> also</w:t>
      </w:r>
      <w:r w:rsidRPr="00F62BA4">
        <w:rPr>
          <w:rFonts w:ascii="Times New Roman" w:hAnsi="Times New Roman" w:cs="Times New Roman"/>
          <w:sz w:val="24"/>
          <w:szCs w:val="24"/>
        </w:rPr>
        <w:t xml:space="preserve"> somewhat contested. After the demise of Suharto’s New Order Government, GAM </w:t>
      </w:r>
      <w:r w:rsidR="00D638A6" w:rsidRPr="00F62BA4">
        <w:rPr>
          <w:rFonts w:ascii="Times New Roman" w:hAnsi="Times New Roman" w:cs="Times New Roman"/>
          <w:sz w:val="24"/>
          <w:szCs w:val="24"/>
        </w:rPr>
        <w:t>instituted traditional governance structures.</w:t>
      </w:r>
      <w:r w:rsidR="00D638A6" w:rsidRPr="00F62BA4">
        <w:rPr>
          <w:rStyle w:val="FootnoteReference"/>
          <w:rFonts w:ascii="Times New Roman" w:hAnsi="Times New Roman" w:cs="Times New Roman"/>
          <w:sz w:val="24"/>
          <w:szCs w:val="24"/>
        </w:rPr>
        <w:footnoteReference w:id="257"/>
      </w:r>
      <w:r w:rsidR="00D638A6" w:rsidRPr="00F62BA4">
        <w:rPr>
          <w:rFonts w:ascii="Times New Roman" w:hAnsi="Times New Roman" w:cs="Times New Roman"/>
          <w:sz w:val="24"/>
          <w:szCs w:val="24"/>
        </w:rPr>
        <w:t xml:space="preserve"> These structures privileged local input and included an elected eight member council o</w:t>
      </w:r>
      <w:r w:rsidR="00DF3AB5" w:rsidRPr="00F62BA4">
        <w:rPr>
          <w:rFonts w:ascii="Times New Roman" w:hAnsi="Times New Roman" w:cs="Times New Roman"/>
          <w:sz w:val="24"/>
          <w:szCs w:val="24"/>
        </w:rPr>
        <w:t xml:space="preserve">f elders for each village. This </w:t>
      </w:r>
      <w:r w:rsidR="00D638A6" w:rsidRPr="00F62BA4">
        <w:rPr>
          <w:rFonts w:ascii="Times New Roman" w:hAnsi="Times New Roman" w:cs="Times New Roman"/>
          <w:sz w:val="24"/>
          <w:szCs w:val="24"/>
        </w:rPr>
        <w:t xml:space="preserve">suggests that these </w:t>
      </w:r>
      <w:r w:rsidR="005B1032">
        <w:rPr>
          <w:rFonts w:ascii="Times New Roman" w:hAnsi="Times New Roman" w:cs="Times New Roman"/>
          <w:sz w:val="24"/>
          <w:szCs w:val="24"/>
        </w:rPr>
        <w:t>consultative instruments</w:t>
      </w:r>
      <w:r w:rsidR="00D638A6" w:rsidRPr="00F62BA4">
        <w:rPr>
          <w:rFonts w:ascii="Times New Roman" w:hAnsi="Times New Roman" w:cs="Times New Roman"/>
          <w:sz w:val="24"/>
          <w:szCs w:val="24"/>
        </w:rPr>
        <w:t xml:space="preserve"> were quite strong. In practice, however, the positions on the council were often passed down hereditarily. </w:t>
      </w:r>
    </w:p>
    <w:p w:rsidR="00C307EB" w:rsidRPr="00F62BA4" w:rsidRDefault="002E5C55" w:rsidP="00DE6C08">
      <w:pPr>
        <w:rPr>
          <w:rFonts w:ascii="Times New Roman" w:hAnsi="Times New Roman" w:cs="Times New Roman"/>
          <w:b/>
          <w:sz w:val="24"/>
          <w:szCs w:val="24"/>
        </w:rPr>
      </w:pPr>
      <w:r w:rsidRPr="00F62BA4">
        <w:rPr>
          <w:rFonts w:ascii="Times New Roman" w:hAnsi="Times New Roman" w:cs="Times New Roman"/>
          <w:b/>
          <w:sz w:val="24"/>
          <w:szCs w:val="24"/>
        </w:rPr>
        <w:t>Indonesia (</w:t>
      </w:r>
      <w:r w:rsidR="00C307EB" w:rsidRPr="00F62BA4">
        <w:rPr>
          <w:rFonts w:ascii="Times New Roman" w:hAnsi="Times New Roman" w:cs="Times New Roman"/>
          <w:b/>
          <w:sz w:val="24"/>
          <w:szCs w:val="24"/>
        </w:rPr>
        <w:t>2003-2005</w:t>
      </w:r>
      <w:r w:rsidRPr="00F62BA4">
        <w:rPr>
          <w:rFonts w:ascii="Times New Roman" w:hAnsi="Times New Roman" w:cs="Times New Roman"/>
          <w:b/>
          <w:sz w:val="24"/>
          <w:szCs w:val="24"/>
        </w:rPr>
        <w:t>)</w:t>
      </w:r>
    </w:p>
    <w:p w:rsidR="002E5C55" w:rsidRPr="00F62BA4" w:rsidRDefault="002E5C55" w:rsidP="002E5C55">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C8084A" w:rsidRPr="00F62BA4">
        <w:rPr>
          <w:rFonts w:ascii="Times New Roman" w:hAnsi="Times New Roman" w:cs="Times New Roman"/>
          <w:sz w:val="24"/>
          <w:szCs w:val="24"/>
        </w:rPr>
        <w:t>Free Aceh Movement / Indonesia</w:t>
      </w:r>
    </w:p>
    <w:p w:rsidR="00D9746E" w:rsidRDefault="005B1032" w:rsidP="00DE6C08">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1F75B8" w:rsidRPr="00F62BA4" w:rsidRDefault="00F07E61" w:rsidP="00DE6C08">
      <w:pPr>
        <w:rPr>
          <w:rFonts w:ascii="Times New Roman" w:hAnsi="Times New Roman" w:cs="Times New Roman"/>
          <w:sz w:val="24"/>
          <w:szCs w:val="24"/>
        </w:rPr>
      </w:pPr>
      <w:r w:rsidRPr="00F62BA4">
        <w:rPr>
          <w:rFonts w:ascii="Times New Roman" w:hAnsi="Times New Roman" w:cs="Times New Roman"/>
          <w:b/>
          <w:sz w:val="24"/>
          <w:szCs w:val="24"/>
        </w:rPr>
        <w:tab/>
      </w:r>
      <w:r w:rsidR="000200DB" w:rsidRPr="00F62BA4">
        <w:rPr>
          <w:rFonts w:ascii="Times New Roman" w:hAnsi="Times New Roman" w:cs="Times New Roman"/>
          <w:sz w:val="24"/>
          <w:szCs w:val="24"/>
        </w:rPr>
        <w:t xml:space="preserve">The final chapter saw a natural disaster and the abandonment of independence as an ultimate aim, but little in the way of new rebel governance outcomes. </w:t>
      </w:r>
      <w:r w:rsidR="005B1032">
        <w:rPr>
          <w:rFonts w:ascii="Times New Roman" w:hAnsi="Times New Roman" w:cs="Times New Roman"/>
          <w:sz w:val="24"/>
          <w:szCs w:val="24"/>
        </w:rPr>
        <w:t>Policing and juridical</w:t>
      </w:r>
      <w:r w:rsidR="001F75B8" w:rsidRPr="00F62BA4">
        <w:rPr>
          <w:rFonts w:ascii="Times New Roman" w:hAnsi="Times New Roman" w:cs="Times New Roman"/>
          <w:sz w:val="24"/>
          <w:szCs w:val="24"/>
        </w:rPr>
        <w:t xml:space="preserve"> saw some development, albeit largely in the form of acceptance by </w:t>
      </w:r>
      <w:r w:rsidR="00D63D87" w:rsidRPr="00F62BA4">
        <w:rPr>
          <w:rFonts w:ascii="Times New Roman" w:hAnsi="Times New Roman" w:cs="Times New Roman"/>
          <w:sz w:val="24"/>
          <w:szCs w:val="24"/>
        </w:rPr>
        <w:t>the population. The courts had gained considerable legitimacy in the eyes of the Acehnese people by this final stage of the conflict.</w:t>
      </w:r>
      <w:r w:rsidR="00D63D87" w:rsidRPr="00F62BA4">
        <w:rPr>
          <w:rStyle w:val="FootnoteReference"/>
          <w:rFonts w:ascii="Times New Roman" w:hAnsi="Times New Roman" w:cs="Times New Roman"/>
          <w:sz w:val="24"/>
          <w:szCs w:val="24"/>
        </w:rPr>
        <w:footnoteReference w:id="258"/>
      </w:r>
      <w:r w:rsidR="00CD10BF" w:rsidRPr="00F62BA4">
        <w:rPr>
          <w:rFonts w:ascii="Times New Roman" w:hAnsi="Times New Roman" w:cs="Times New Roman"/>
          <w:sz w:val="24"/>
          <w:szCs w:val="24"/>
        </w:rPr>
        <w:t xml:space="preserve"> This was in part due to the fact that rebel-run courts were more likely to be functional at</w:t>
      </w:r>
      <w:r w:rsidR="00180418" w:rsidRPr="00F62BA4">
        <w:rPr>
          <w:rFonts w:ascii="Times New Roman" w:hAnsi="Times New Roman" w:cs="Times New Roman"/>
          <w:sz w:val="24"/>
          <w:szCs w:val="24"/>
        </w:rPr>
        <w:t xml:space="preserve"> the time, but the point stands;</w:t>
      </w:r>
      <w:r w:rsidR="00CD10BF" w:rsidRPr="00F62BA4">
        <w:rPr>
          <w:rStyle w:val="FootnoteReference"/>
          <w:rFonts w:ascii="Times New Roman" w:hAnsi="Times New Roman" w:cs="Times New Roman"/>
          <w:sz w:val="24"/>
          <w:szCs w:val="24"/>
        </w:rPr>
        <w:footnoteReference w:id="259"/>
      </w:r>
      <w:r w:rsidR="00180418" w:rsidRPr="00F62BA4">
        <w:rPr>
          <w:rFonts w:ascii="Times New Roman" w:hAnsi="Times New Roman" w:cs="Times New Roman"/>
          <w:sz w:val="24"/>
          <w:szCs w:val="24"/>
        </w:rPr>
        <w:t xml:space="preserve"> with the help of religious leaders, GAM was able to provide an approximation of a judiciary during this final chapter of the armed conflict.</w:t>
      </w:r>
      <w:r w:rsidR="00180418" w:rsidRPr="00F62BA4">
        <w:rPr>
          <w:rStyle w:val="FootnoteReference"/>
          <w:rFonts w:ascii="Times New Roman" w:hAnsi="Times New Roman" w:cs="Times New Roman"/>
          <w:sz w:val="24"/>
          <w:szCs w:val="24"/>
        </w:rPr>
        <w:footnoteReference w:id="260"/>
      </w:r>
    </w:p>
    <w:p w:rsidR="00F07E61" w:rsidRPr="00F62BA4" w:rsidRDefault="00F07E61" w:rsidP="00DE6C08">
      <w:pPr>
        <w:rPr>
          <w:rFonts w:ascii="Times New Roman" w:hAnsi="Times New Roman" w:cs="Times New Roman"/>
          <w:sz w:val="24"/>
          <w:szCs w:val="24"/>
        </w:rPr>
      </w:pPr>
      <w:r w:rsidRPr="00F62BA4">
        <w:rPr>
          <w:rFonts w:ascii="Times New Roman" w:hAnsi="Times New Roman" w:cs="Times New Roman"/>
          <w:sz w:val="24"/>
          <w:szCs w:val="24"/>
        </w:rPr>
        <w:tab/>
        <w:t>Where public goods are concerned, the calls for health</w:t>
      </w:r>
      <w:r w:rsidR="001002E3" w:rsidRPr="00F62BA4">
        <w:rPr>
          <w:rFonts w:ascii="Times New Roman" w:hAnsi="Times New Roman" w:cs="Times New Roman"/>
          <w:sz w:val="24"/>
          <w:szCs w:val="24"/>
        </w:rPr>
        <w:t xml:space="preserve"> care and education suggested that provision was far from perfect.</w:t>
      </w:r>
      <w:r w:rsidR="001002E3" w:rsidRPr="00F62BA4">
        <w:rPr>
          <w:rStyle w:val="FootnoteReference"/>
          <w:rFonts w:ascii="Times New Roman" w:hAnsi="Times New Roman" w:cs="Times New Roman"/>
          <w:sz w:val="24"/>
          <w:szCs w:val="24"/>
        </w:rPr>
        <w:footnoteReference w:id="261"/>
      </w:r>
      <w:r w:rsidR="000200DB" w:rsidRPr="00F62BA4">
        <w:rPr>
          <w:rFonts w:ascii="Times New Roman" w:hAnsi="Times New Roman" w:cs="Times New Roman"/>
          <w:sz w:val="24"/>
          <w:szCs w:val="24"/>
        </w:rPr>
        <w:t xml:space="preserve"> </w:t>
      </w:r>
      <w:r w:rsidR="00CD10BF" w:rsidRPr="00F62BA4">
        <w:rPr>
          <w:rFonts w:ascii="Times New Roman" w:hAnsi="Times New Roman" w:cs="Times New Roman"/>
          <w:sz w:val="24"/>
          <w:szCs w:val="24"/>
        </w:rPr>
        <w:t>However, in this final chapter, the relationships between the GAM and local religious leaders bore substantial fruit in this realm. While originally skeptical of their independence project (or at the very least skeptical that they should become involved), their cooperation aided GAM’s governance project, both in terms of shoring up its legitimacy with local populations and in terms of supporting their efficacy. Although this contributed to the operation of the courts, this was clearest in the case of religious schools from this time period, which relied heavily on the resources of local ulama.</w:t>
      </w:r>
      <w:r w:rsidR="00CD10BF" w:rsidRPr="00F62BA4">
        <w:rPr>
          <w:rStyle w:val="FootnoteReference"/>
          <w:rFonts w:ascii="Times New Roman" w:hAnsi="Times New Roman" w:cs="Times New Roman"/>
          <w:sz w:val="24"/>
          <w:szCs w:val="24"/>
        </w:rPr>
        <w:footnoteReference w:id="262"/>
      </w:r>
    </w:p>
    <w:p w:rsidR="00D63D87" w:rsidRPr="00D9746E" w:rsidRDefault="00D63D87"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In spite of GAM’s developments as a political actor, some observers remained skeptical of their </w:t>
      </w:r>
      <w:r w:rsidR="009C1A63" w:rsidRPr="00F62BA4">
        <w:rPr>
          <w:rFonts w:ascii="Times New Roman" w:hAnsi="Times New Roman" w:cs="Times New Roman"/>
          <w:sz w:val="24"/>
          <w:szCs w:val="24"/>
        </w:rPr>
        <w:t>efficacy as such an actor, even after the conflict ended.</w:t>
      </w:r>
      <w:r w:rsidR="009C1A63" w:rsidRPr="00F62BA4">
        <w:rPr>
          <w:rStyle w:val="FootnoteReference"/>
          <w:rFonts w:ascii="Times New Roman" w:hAnsi="Times New Roman" w:cs="Times New Roman"/>
          <w:sz w:val="24"/>
          <w:szCs w:val="24"/>
        </w:rPr>
        <w:footnoteReference w:id="263"/>
      </w:r>
      <w:r w:rsidR="00204DB5" w:rsidRPr="00F62BA4">
        <w:rPr>
          <w:rFonts w:ascii="Times New Roman" w:hAnsi="Times New Roman" w:cs="Times New Roman"/>
          <w:sz w:val="24"/>
          <w:szCs w:val="24"/>
        </w:rPr>
        <w:t xml:space="preserve"> This did not stop them from trying during the conflict, however. Although their capabilities were hamstrung by Indonesian military successes and the capture of civilian leaders, GAM attempted to consolidate their status as competent and legitimate civilian leaders.</w:t>
      </w:r>
      <w:r w:rsidR="00204DB5" w:rsidRPr="00F62BA4">
        <w:rPr>
          <w:rStyle w:val="FootnoteReference"/>
          <w:rFonts w:ascii="Times New Roman" w:hAnsi="Times New Roman" w:cs="Times New Roman"/>
          <w:sz w:val="24"/>
          <w:szCs w:val="24"/>
        </w:rPr>
        <w:footnoteReference w:id="264"/>
      </w:r>
      <w:r w:rsidR="00204DB5" w:rsidRPr="00F62BA4">
        <w:rPr>
          <w:rFonts w:ascii="Times New Roman" w:hAnsi="Times New Roman" w:cs="Times New Roman"/>
          <w:sz w:val="24"/>
          <w:szCs w:val="24"/>
        </w:rPr>
        <w:t xml:space="preserve"> Much of it had collapsed by the time the tsunami hit, though, leaving the movement without much of its local civilian political capital.</w:t>
      </w:r>
    </w:p>
    <w:p w:rsidR="007E7BF1" w:rsidRPr="00F62BA4" w:rsidRDefault="007E7BF1" w:rsidP="00DE6C08">
      <w:pPr>
        <w:rPr>
          <w:rFonts w:ascii="Times New Roman" w:hAnsi="Times New Roman" w:cs="Times New Roman"/>
          <w:b/>
          <w:sz w:val="24"/>
          <w:szCs w:val="24"/>
        </w:rPr>
      </w:pPr>
      <w:r w:rsidRPr="00F62BA4">
        <w:rPr>
          <w:rFonts w:ascii="Times New Roman" w:hAnsi="Times New Roman" w:cs="Times New Roman"/>
          <w:b/>
          <w:sz w:val="24"/>
          <w:szCs w:val="24"/>
        </w:rPr>
        <w:lastRenderedPageBreak/>
        <w:t>Iran (1979-1984)</w:t>
      </w:r>
    </w:p>
    <w:p w:rsidR="007E7BF1" w:rsidRPr="00F62BA4" w:rsidRDefault="007E7BF1"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C84516" w:rsidRPr="00F62BA4">
        <w:rPr>
          <w:rFonts w:ascii="Times New Roman" w:hAnsi="Times New Roman" w:cs="Times New Roman"/>
          <w:sz w:val="24"/>
          <w:szCs w:val="24"/>
        </w:rPr>
        <w:t xml:space="preserve"> Kurdish Separatists / Islamic Republic of Iran</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2;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F66D1A" w:rsidRPr="00F62BA4" w:rsidRDefault="00C84516" w:rsidP="00DE6C08">
      <w:pPr>
        <w:rPr>
          <w:rFonts w:ascii="Times New Roman" w:hAnsi="Times New Roman" w:cs="Times New Roman"/>
          <w:sz w:val="24"/>
          <w:szCs w:val="24"/>
        </w:rPr>
      </w:pPr>
      <w:r w:rsidRPr="00F62BA4">
        <w:rPr>
          <w:rFonts w:ascii="Times New Roman" w:hAnsi="Times New Roman" w:cs="Times New Roman"/>
          <w:sz w:val="24"/>
          <w:szCs w:val="24"/>
        </w:rPr>
        <w:tab/>
      </w:r>
      <w:r w:rsidR="00F66D1A" w:rsidRPr="00F62BA4">
        <w:rPr>
          <w:rFonts w:ascii="Times New Roman" w:hAnsi="Times New Roman" w:cs="Times New Roman"/>
          <w:sz w:val="24"/>
          <w:szCs w:val="24"/>
        </w:rPr>
        <w:t>Iran’s Kurds had been vocal proponents of removing the Shah during the Iranian Revolution. However, Ayatollah Khomeini’s revolutionary ideology left little room for Kurdish autonomy.</w:t>
      </w:r>
      <w:r w:rsidR="00F66D1A" w:rsidRPr="00F62BA4">
        <w:rPr>
          <w:rStyle w:val="FootnoteReference"/>
          <w:rFonts w:ascii="Times New Roman" w:hAnsi="Times New Roman" w:cs="Times New Roman"/>
          <w:sz w:val="24"/>
          <w:szCs w:val="24"/>
        </w:rPr>
        <w:footnoteReference w:id="265"/>
      </w:r>
      <w:r w:rsidR="00F66D1A" w:rsidRPr="00F62BA4">
        <w:rPr>
          <w:rFonts w:ascii="Times New Roman" w:hAnsi="Times New Roman" w:cs="Times New Roman"/>
          <w:sz w:val="24"/>
          <w:szCs w:val="24"/>
        </w:rPr>
        <w:t xml:space="preserve"> </w:t>
      </w:r>
      <w:r w:rsidR="005C1139" w:rsidRPr="00F62BA4">
        <w:rPr>
          <w:rFonts w:ascii="Times New Roman" w:hAnsi="Times New Roman" w:cs="Times New Roman"/>
          <w:sz w:val="24"/>
          <w:szCs w:val="24"/>
        </w:rPr>
        <w:t xml:space="preserve">While Kurdish community in Iran was riven with ideological </w:t>
      </w:r>
      <w:r w:rsidR="00257F7D" w:rsidRPr="00F62BA4">
        <w:rPr>
          <w:rFonts w:ascii="Times New Roman" w:hAnsi="Times New Roman" w:cs="Times New Roman"/>
          <w:sz w:val="24"/>
          <w:szCs w:val="24"/>
        </w:rPr>
        <w:t>fault lines, those who wished for autonomy took umbrage at Khomeini’s assertion that the (specifically Shi’ite) Muslim identity of Iranians would transcend all other signifiers in the new regime. Not only were most Iranian Kurds Sunni, but many (especially Sheikh Ezzedin Husseini) believed Iran’s budding theocracy to be a substantial threat to the Kurds’ cultural and ethnic separateness.</w:t>
      </w:r>
    </w:p>
    <w:p w:rsidR="00257F7D" w:rsidRPr="00F62BA4" w:rsidRDefault="00257F7D" w:rsidP="00DE6C08">
      <w:pPr>
        <w:rPr>
          <w:rFonts w:ascii="Times New Roman" w:hAnsi="Times New Roman" w:cs="Times New Roman"/>
          <w:sz w:val="24"/>
          <w:szCs w:val="24"/>
        </w:rPr>
      </w:pPr>
      <w:r w:rsidRPr="00F62BA4">
        <w:rPr>
          <w:rFonts w:ascii="Times New Roman" w:hAnsi="Times New Roman" w:cs="Times New Roman"/>
          <w:sz w:val="24"/>
          <w:szCs w:val="24"/>
        </w:rPr>
        <w:tab/>
        <w:t>In the wake of the revolution (and perhaps anticipating issues with the ascendant revolutionary government), Iran’s Kurds began asserting their autonomy, holding local elections and reviving old political organizations.</w:t>
      </w:r>
      <w:r w:rsidRPr="00F62BA4">
        <w:rPr>
          <w:rStyle w:val="FootnoteReference"/>
          <w:rFonts w:ascii="Times New Roman" w:hAnsi="Times New Roman" w:cs="Times New Roman"/>
          <w:sz w:val="24"/>
          <w:szCs w:val="24"/>
        </w:rPr>
        <w:footnoteReference w:id="266"/>
      </w:r>
      <w:r w:rsidRPr="00F62BA4">
        <w:rPr>
          <w:rFonts w:ascii="Times New Roman" w:hAnsi="Times New Roman" w:cs="Times New Roman"/>
          <w:sz w:val="24"/>
          <w:szCs w:val="24"/>
        </w:rPr>
        <w:t xml:space="preserve"> </w:t>
      </w:r>
      <w:r w:rsidR="00AA12A6" w:rsidRPr="00F62BA4">
        <w:rPr>
          <w:rFonts w:ascii="Times New Roman" w:hAnsi="Times New Roman" w:cs="Times New Roman"/>
          <w:sz w:val="24"/>
          <w:szCs w:val="24"/>
        </w:rPr>
        <w:t>This political activity was not restricted to extra-state manifestations, though—although many Kurds participated in the boycott of the Islamic Republic referendum, Kurdish candidates stood for election in the resultant parliament.</w:t>
      </w:r>
      <w:r w:rsidR="00AA12A6" w:rsidRPr="00F62BA4">
        <w:rPr>
          <w:rStyle w:val="FootnoteReference"/>
          <w:rFonts w:ascii="Times New Roman" w:hAnsi="Times New Roman" w:cs="Times New Roman"/>
          <w:sz w:val="24"/>
          <w:szCs w:val="24"/>
        </w:rPr>
        <w:footnoteReference w:id="267"/>
      </w:r>
      <w:r w:rsidR="00AA12A6" w:rsidRPr="00F62BA4">
        <w:rPr>
          <w:rFonts w:ascii="Times New Roman" w:hAnsi="Times New Roman" w:cs="Times New Roman"/>
          <w:sz w:val="24"/>
          <w:szCs w:val="24"/>
        </w:rPr>
        <w:t xml:space="preserve"> The degree of political organization among Kurdish officials (particularly the Kurdish Democratic Party) and its control of Iranian Kurdistan meant that the famously recalcitrant Islamic Republic negotiated with Kurdish leadership on occasion. This is particularly impressive given the number of different factions within Iran’s Kurdish community.</w:t>
      </w:r>
    </w:p>
    <w:p w:rsidR="006B7044" w:rsidRPr="00F62BA4" w:rsidRDefault="006B7044" w:rsidP="00DE6C08">
      <w:pPr>
        <w:rPr>
          <w:rFonts w:ascii="Times New Roman" w:hAnsi="Times New Roman" w:cs="Times New Roman"/>
          <w:sz w:val="24"/>
          <w:szCs w:val="24"/>
        </w:rPr>
      </w:pPr>
      <w:r w:rsidRPr="00F62BA4">
        <w:rPr>
          <w:rFonts w:ascii="Times New Roman" w:hAnsi="Times New Roman" w:cs="Times New Roman"/>
          <w:sz w:val="24"/>
          <w:szCs w:val="24"/>
        </w:rPr>
        <w:tab/>
        <w:t>This was hardly window-dressing—the KDP maintained a remarkable level of parallel administration until its territory was conquered in 1983.</w:t>
      </w:r>
      <w:r w:rsidRPr="00F62BA4">
        <w:rPr>
          <w:rStyle w:val="FootnoteReference"/>
          <w:rFonts w:ascii="Times New Roman" w:hAnsi="Times New Roman" w:cs="Times New Roman"/>
          <w:sz w:val="24"/>
          <w:szCs w:val="24"/>
        </w:rPr>
        <w:footnoteReference w:id="268"/>
      </w:r>
      <w:r w:rsidRPr="00F62BA4">
        <w:rPr>
          <w:rFonts w:ascii="Times New Roman" w:hAnsi="Times New Roman" w:cs="Times New Roman"/>
          <w:sz w:val="24"/>
          <w:szCs w:val="24"/>
        </w:rPr>
        <w:t xml:space="preserve"> In addition to arranging local elections, KDP administration produced schools and hospitals for Iranian Kurdistan, as well as “a court of law with an experienced and professional judge.”</w:t>
      </w:r>
      <w:r w:rsidRPr="00F62BA4">
        <w:rPr>
          <w:rStyle w:val="FootnoteReference"/>
          <w:rFonts w:ascii="Times New Roman" w:hAnsi="Times New Roman" w:cs="Times New Roman"/>
          <w:sz w:val="24"/>
          <w:szCs w:val="24"/>
        </w:rPr>
        <w:footnoteReference w:id="269"/>
      </w:r>
      <w:r w:rsidR="003D3E51" w:rsidRPr="00F62BA4">
        <w:rPr>
          <w:rFonts w:ascii="Times New Roman" w:hAnsi="Times New Roman" w:cs="Times New Roman"/>
          <w:sz w:val="24"/>
          <w:szCs w:val="24"/>
        </w:rPr>
        <w:t xml:space="preserve"> Interestingly, the KDP was willing to exist as an autonomous region </w:t>
      </w:r>
      <w:r w:rsidR="003D3E51" w:rsidRPr="00F62BA4">
        <w:rPr>
          <w:rFonts w:ascii="Times New Roman" w:hAnsi="Times New Roman" w:cs="Times New Roman"/>
          <w:i/>
          <w:sz w:val="24"/>
          <w:szCs w:val="24"/>
        </w:rPr>
        <w:t>within</w:t>
      </w:r>
      <w:r w:rsidR="003D3E51" w:rsidRPr="00F62BA4">
        <w:rPr>
          <w:rFonts w:ascii="Times New Roman" w:hAnsi="Times New Roman" w:cs="Times New Roman"/>
          <w:sz w:val="24"/>
          <w:szCs w:val="24"/>
        </w:rPr>
        <w:t xml:space="preserve"> Iran, in spite of this parallel administration (at least in the wake of the revolution).</w:t>
      </w:r>
      <w:r w:rsidR="003D3E51" w:rsidRPr="00F62BA4">
        <w:rPr>
          <w:rStyle w:val="FootnoteReference"/>
          <w:rFonts w:ascii="Times New Roman" w:hAnsi="Times New Roman" w:cs="Times New Roman"/>
          <w:sz w:val="24"/>
          <w:szCs w:val="24"/>
        </w:rPr>
        <w:footnoteReference w:id="270"/>
      </w:r>
      <w:r w:rsidR="003D3E51" w:rsidRPr="00F62BA4">
        <w:rPr>
          <w:rFonts w:ascii="Times New Roman" w:hAnsi="Times New Roman" w:cs="Times New Roman"/>
          <w:sz w:val="24"/>
          <w:szCs w:val="24"/>
        </w:rPr>
        <w:t xml:space="preserve"> This mattered little in the end, though</w:t>
      </w:r>
      <w:r w:rsidR="00671FE4" w:rsidRPr="00F62BA4">
        <w:rPr>
          <w:rFonts w:ascii="Times New Roman" w:hAnsi="Times New Roman" w:cs="Times New Roman"/>
          <w:sz w:val="24"/>
          <w:szCs w:val="24"/>
        </w:rPr>
        <w:t>;</w:t>
      </w:r>
      <w:r w:rsidR="003D3E51" w:rsidRPr="00F62BA4">
        <w:rPr>
          <w:rFonts w:ascii="Times New Roman" w:hAnsi="Times New Roman" w:cs="Times New Roman"/>
          <w:sz w:val="24"/>
          <w:szCs w:val="24"/>
        </w:rPr>
        <w:t xml:space="preserve"> </w:t>
      </w:r>
      <w:r w:rsidR="00671FE4" w:rsidRPr="00F62BA4">
        <w:rPr>
          <w:rFonts w:ascii="Times New Roman" w:hAnsi="Times New Roman" w:cs="Times New Roman"/>
          <w:sz w:val="24"/>
          <w:szCs w:val="24"/>
        </w:rPr>
        <w:t>i</w:t>
      </w:r>
      <w:r w:rsidR="003D3E51" w:rsidRPr="00F62BA4">
        <w:rPr>
          <w:rFonts w:ascii="Times New Roman" w:hAnsi="Times New Roman" w:cs="Times New Roman"/>
          <w:sz w:val="24"/>
          <w:szCs w:val="24"/>
        </w:rPr>
        <w:t>ndependent Kurdistan was effectively liquidated</w:t>
      </w:r>
      <w:r w:rsidR="00D232D1" w:rsidRPr="00F62BA4">
        <w:rPr>
          <w:rFonts w:ascii="Times New Roman" w:hAnsi="Times New Roman" w:cs="Times New Roman"/>
          <w:sz w:val="24"/>
          <w:szCs w:val="24"/>
        </w:rPr>
        <w:t xml:space="preserve"> in Iran</w:t>
      </w:r>
      <w:r w:rsidR="003D3E51" w:rsidRPr="00F62BA4">
        <w:rPr>
          <w:rFonts w:ascii="Times New Roman" w:hAnsi="Times New Roman" w:cs="Times New Roman"/>
          <w:sz w:val="24"/>
          <w:szCs w:val="24"/>
        </w:rPr>
        <w:t xml:space="preserve"> by 1984.</w:t>
      </w:r>
    </w:p>
    <w:p w:rsidR="007A25B1" w:rsidRPr="00F62BA4" w:rsidRDefault="007A25B1" w:rsidP="00DE6C08">
      <w:pPr>
        <w:rPr>
          <w:rFonts w:ascii="Times New Roman" w:hAnsi="Times New Roman" w:cs="Times New Roman"/>
          <w:b/>
          <w:sz w:val="24"/>
          <w:szCs w:val="24"/>
        </w:rPr>
      </w:pPr>
      <w:r w:rsidRPr="00F62BA4">
        <w:rPr>
          <w:rFonts w:ascii="Times New Roman" w:hAnsi="Times New Roman" w:cs="Times New Roman"/>
          <w:b/>
          <w:sz w:val="24"/>
          <w:szCs w:val="24"/>
        </w:rPr>
        <w:t>Iraq (1991)</w:t>
      </w:r>
    </w:p>
    <w:p w:rsidR="007A25B1" w:rsidRPr="00F62BA4" w:rsidRDefault="007A25B1"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3622AE" w:rsidRPr="00F62BA4">
        <w:rPr>
          <w:rFonts w:ascii="Times New Roman" w:hAnsi="Times New Roman" w:cs="Times New Roman"/>
          <w:sz w:val="24"/>
          <w:szCs w:val="24"/>
        </w:rPr>
        <w:t xml:space="preserve"> Various Dissident Factions (South) and Kurdistan (North)</w:t>
      </w:r>
      <w:r w:rsidRPr="00F62BA4">
        <w:rPr>
          <w:rFonts w:ascii="Times New Roman" w:hAnsi="Times New Roman" w:cs="Times New Roman"/>
          <w:sz w:val="24"/>
          <w:szCs w:val="24"/>
        </w:rPr>
        <w:t xml:space="preserve"> </w:t>
      </w:r>
      <w:r w:rsidR="003622AE" w:rsidRPr="00F62BA4">
        <w:rPr>
          <w:rFonts w:ascii="Times New Roman" w:hAnsi="Times New Roman" w:cs="Times New Roman"/>
          <w:sz w:val="24"/>
          <w:szCs w:val="24"/>
        </w:rPr>
        <w:t>/ Iraq</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w:t>
      </w:r>
      <w:r w:rsidR="00D9746E">
        <w:rPr>
          <w:rFonts w:ascii="Times New Roman" w:hAnsi="Times New Roman" w:cs="Times New Roman"/>
          <w:b/>
          <w:sz w:val="24"/>
          <w:szCs w:val="24"/>
        </w:rPr>
        <w:t>1</w:t>
      </w:r>
      <w:r w:rsidR="00D9746E"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3622AE" w:rsidRPr="00F62BA4" w:rsidRDefault="003622AE" w:rsidP="00DE6C08">
      <w:pPr>
        <w:rPr>
          <w:rFonts w:ascii="Times New Roman" w:hAnsi="Times New Roman" w:cs="Times New Roman"/>
          <w:sz w:val="24"/>
          <w:szCs w:val="24"/>
        </w:rPr>
      </w:pPr>
      <w:r w:rsidRPr="00F62BA4">
        <w:rPr>
          <w:rFonts w:ascii="Times New Roman" w:hAnsi="Times New Roman" w:cs="Times New Roman"/>
          <w:sz w:val="24"/>
          <w:szCs w:val="24"/>
        </w:rPr>
        <w:lastRenderedPageBreak/>
        <w:tab/>
        <w:t>Saddam Hussein’s Iraq, fresh off being routed in Kuwait, faced an uprising beginning in March of 1991—although it may be more accurate to describe the civil war as consisting of two distinct uprisings. Southern towns, beginning with Basra, fell to a largely spontaneous and unorganized uprising of dissidents who noticed the flagging state power’</w:t>
      </w:r>
      <w:r w:rsidR="000622D2" w:rsidRPr="00F62BA4">
        <w:rPr>
          <w:rFonts w:ascii="Times New Roman" w:hAnsi="Times New Roman" w:cs="Times New Roman"/>
          <w:sz w:val="24"/>
          <w:szCs w:val="24"/>
        </w:rPr>
        <w:t>s vulnerability.</w:t>
      </w:r>
      <w:r w:rsidR="000622D2" w:rsidRPr="00F62BA4">
        <w:rPr>
          <w:rStyle w:val="FootnoteReference"/>
          <w:rFonts w:ascii="Times New Roman" w:hAnsi="Times New Roman" w:cs="Times New Roman"/>
          <w:sz w:val="24"/>
          <w:szCs w:val="24"/>
        </w:rPr>
        <w:footnoteReference w:id="271"/>
      </w:r>
      <w:r w:rsidR="000622D2" w:rsidRPr="00F62BA4">
        <w:rPr>
          <w:rFonts w:ascii="Times New Roman" w:hAnsi="Times New Roman" w:cs="Times New Roman"/>
          <w:sz w:val="24"/>
          <w:szCs w:val="24"/>
        </w:rPr>
        <w:t xml:space="preserve"> In spite of early successes, by late March the Ba’athists had regained control of its Southern territories, aided by the lack of any sort of organization to the uprising.</w:t>
      </w:r>
    </w:p>
    <w:p w:rsidR="00EE4679" w:rsidRPr="00F62BA4" w:rsidRDefault="000622D2" w:rsidP="00DE6C08">
      <w:pPr>
        <w:rPr>
          <w:rFonts w:ascii="Times New Roman" w:hAnsi="Times New Roman" w:cs="Times New Roman"/>
          <w:sz w:val="24"/>
          <w:szCs w:val="24"/>
        </w:rPr>
      </w:pPr>
      <w:r w:rsidRPr="00F62BA4">
        <w:rPr>
          <w:rFonts w:ascii="Times New Roman" w:hAnsi="Times New Roman" w:cs="Times New Roman"/>
          <w:sz w:val="24"/>
          <w:szCs w:val="24"/>
        </w:rPr>
        <w:tab/>
        <w:t>The Kurdish involvement in the uprising was more organized than its southern counterpart, but the outcome was similar.</w:t>
      </w:r>
      <w:r w:rsidRPr="00F62BA4">
        <w:rPr>
          <w:rStyle w:val="FootnoteReference"/>
          <w:rFonts w:ascii="Times New Roman" w:hAnsi="Times New Roman" w:cs="Times New Roman"/>
          <w:sz w:val="24"/>
          <w:szCs w:val="24"/>
        </w:rPr>
        <w:footnoteReference w:id="272"/>
      </w:r>
      <w:r w:rsidRPr="00F62BA4">
        <w:rPr>
          <w:rFonts w:ascii="Times New Roman" w:hAnsi="Times New Roman" w:cs="Times New Roman"/>
          <w:sz w:val="24"/>
          <w:szCs w:val="24"/>
        </w:rPr>
        <w:t xml:space="preserve"> Fueled by horrors of living in Saddam’s Iraq, Kurdish attacks on Iraqi state organs were brutal. Little in the way of new organs of governance replaced the smoldering ruins of the Ba’athist administration, though. As Kurdistan fell,</w:t>
      </w:r>
      <w:r w:rsidR="00D05389">
        <w:rPr>
          <w:rFonts w:ascii="Times New Roman" w:hAnsi="Times New Roman" w:cs="Times New Roman"/>
          <w:sz w:val="24"/>
          <w:szCs w:val="24"/>
        </w:rPr>
        <w:t xml:space="preserve"> much of the</w:t>
      </w:r>
      <w:r w:rsidRPr="00F62BA4">
        <w:rPr>
          <w:rFonts w:ascii="Times New Roman" w:hAnsi="Times New Roman" w:cs="Times New Roman"/>
          <w:sz w:val="24"/>
          <w:szCs w:val="24"/>
        </w:rPr>
        <w:t xml:space="preserve"> organizational capital that did exist was put to use organizing large-scale evacuations to </w:t>
      </w:r>
      <w:r w:rsidR="00254C98" w:rsidRPr="00F62BA4">
        <w:rPr>
          <w:rFonts w:ascii="Times New Roman" w:hAnsi="Times New Roman" w:cs="Times New Roman"/>
          <w:sz w:val="24"/>
          <w:szCs w:val="24"/>
        </w:rPr>
        <w:t>avoid chemical weapons attacks.</w:t>
      </w:r>
      <w:r w:rsidR="00254C98" w:rsidRPr="00F62BA4">
        <w:rPr>
          <w:rStyle w:val="FootnoteReference"/>
          <w:rFonts w:ascii="Times New Roman" w:hAnsi="Times New Roman" w:cs="Times New Roman"/>
          <w:sz w:val="24"/>
          <w:szCs w:val="24"/>
        </w:rPr>
        <w:footnoteReference w:id="273"/>
      </w:r>
    </w:p>
    <w:p w:rsidR="000622D2" w:rsidRPr="00F62BA4" w:rsidRDefault="00EE4679" w:rsidP="00D05389">
      <w:pPr>
        <w:ind w:firstLine="720"/>
        <w:rPr>
          <w:rFonts w:ascii="Times New Roman" w:hAnsi="Times New Roman" w:cs="Times New Roman"/>
          <w:sz w:val="24"/>
          <w:szCs w:val="24"/>
        </w:rPr>
      </w:pPr>
      <w:r w:rsidRPr="00F62BA4">
        <w:rPr>
          <w:rFonts w:ascii="Times New Roman" w:hAnsi="Times New Roman" w:cs="Times New Roman"/>
          <w:sz w:val="24"/>
          <w:szCs w:val="24"/>
        </w:rPr>
        <w:t>In neither case was there substantial governance efforts on the part of the rebels. In spite of the state’s inability to meet the populations’ need of public goods in the wake of the war, the rebels</w:t>
      </w:r>
      <w:r w:rsidR="00D05389">
        <w:rPr>
          <w:rFonts w:ascii="Times New Roman" w:hAnsi="Times New Roman" w:cs="Times New Roman"/>
          <w:sz w:val="24"/>
          <w:szCs w:val="24"/>
        </w:rPr>
        <w:t xml:space="preserve"> generally</w:t>
      </w:r>
      <w:r w:rsidRPr="00F62BA4">
        <w:rPr>
          <w:rFonts w:ascii="Times New Roman" w:hAnsi="Times New Roman" w:cs="Times New Roman"/>
          <w:sz w:val="24"/>
          <w:szCs w:val="24"/>
        </w:rPr>
        <w:t xml:space="preserve"> failed to fill the gap</w:t>
      </w:r>
      <w:r w:rsidR="00D05389">
        <w:rPr>
          <w:rFonts w:ascii="Times New Roman" w:hAnsi="Times New Roman" w:cs="Times New Roman"/>
          <w:sz w:val="24"/>
          <w:szCs w:val="24"/>
        </w:rPr>
        <w:t xml:space="preserve"> with one exception</w:t>
      </w:r>
      <w:r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274"/>
      </w:r>
      <w:r w:rsidRPr="00F62BA4">
        <w:rPr>
          <w:rFonts w:ascii="Times New Roman" w:hAnsi="Times New Roman" w:cs="Times New Roman"/>
          <w:sz w:val="24"/>
          <w:szCs w:val="24"/>
        </w:rPr>
        <w:t xml:space="preserve"> When one notes that the uprisings barely survived into April, this becomes easy to understand</w:t>
      </w:r>
      <w:r w:rsidR="00D05389">
        <w:rPr>
          <w:rFonts w:ascii="Times New Roman" w:hAnsi="Times New Roman" w:cs="Times New Roman"/>
          <w:sz w:val="24"/>
          <w:szCs w:val="24"/>
        </w:rPr>
        <w:t>;</w:t>
      </w:r>
      <w:r w:rsidRPr="00F62BA4">
        <w:rPr>
          <w:rFonts w:ascii="Times New Roman" w:hAnsi="Times New Roman" w:cs="Times New Roman"/>
          <w:sz w:val="24"/>
          <w:szCs w:val="24"/>
        </w:rPr>
        <w:t xml:space="preserve"> </w:t>
      </w:r>
      <w:r w:rsidR="00D05389">
        <w:rPr>
          <w:rFonts w:ascii="Times New Roman" w:hAnsi="Times New Roman" w:cs="Times New Roman"/>
          <w:sz w:val="24"/>
          <w:szCs w:val="24"/>
        </w:rPr>
        <w:t>the southern rebels hardly had time to be “stationary” bandits. With that said, Kurdish rebels had established a means by which they could take advantage of the not insignificant number of trained medical personnel.</w:t>
      </w:r>
      <w:r w:rsidR="00D05389">
        <w:rPr>
          <w:rStyle w:val="FootnoteReference"/>
          <w:rFonts w:ascii="Times New Roman" w:hAnsi="Times New Roman" w:cs="Times New Roman"/>
          <w:sz w:val="24"/>
          <w:szCs w:val="24"/>
        </w:rPr>
        <w:footnoteReference w:id="275"/>
      </w:r>
    </w:p>
    <w:p w:rsidR="009305DE" w:rsidRPr="00F62BA4" w:rsidRDefault="009305DE" w:rsidP="00DE6C08">
      <w:pPr>
        <w:rPr>
          <w:rFonts w:ascii="Times New Roman" w:hAnsi="Times New Roman" w:cs="Times New Roman"/>
          <w:b/>
          <w:sz w:val="24"/>
          <w:szCs w:val="24"/>
        </w:rPr>
      </w:pPr>
      <w:r w:rsidRPr="00F62BA4">
        <w:rPr>
          <w:rFonts w:ascii="Times New Roman" w:hAnsi="Times New Roman" w:cs="Times New Roman"/>
          <w:b/>
          <w:sz w:val="24"/>
          <w:szCs w:val="24"/>
        </w:rPr>
        <w:t>Ivory Coast (2002-2005)</w:t>
      </w:r>
    </w:p>
    <w:p w:rsidR="009305DE" w:rsidRPr="00F62BA4" w:rsidRDefault="009305DE"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231ECF" w:rsidRPr="00F62BA4">
        <w:rPr>
          <w:rFonts w:ascii="Times New Roman" w:hAnsi="Times New Roman" w:cs="Times New Roman"/>
          <w:sz w:val="24"/>
          <w:szCs w:val="24"/>
        </w:rPr>
        <w:t xml:space="preserve"> New Forces</w:t>
      </w:r>
      <w:r w:rsidR="00C64D81">
        <w:rPr>
          <w:rFonts w:ascii="Times New Roman" w:hAnsi="Times New Roman" w:cs="Times New Roman"/>
          <w:sz w:val="24"/>
          <w:szCs w:val="24"/>
        </w:rPr>
        <w:t xml:space="preserve"> (FN), </w:t>
      </w:r>
      <w:r w:rsidR="00BA42A0" w:rsidRPr="00F62BA4">
        <w:rPr>
          <w:rFonts w:ascii="Times New Roman" w:hAnsi="Times New Roman" w:cs="Times New Roman"/>
          <w:sz w:val="24"/>
          <w:szCs w:val="24"/>
        </w:rPr>
        <w:t>Patriotic Movement of the Ivory Coast (MPCI)</w:t>
      </w:r>
      <w:r w:rsidR="00231ECF" w:rsidRPr="00F62BA4">
        <w:rPr>
          <w:rFonts w:ascii="Times New Roman" w:hAnsi="Times New Roman" w:cs="Times New Roman"/>
          <w:sz w:val="24"/>
          <w:szCs w:val="24"/>
        </w:rPr>
        <w:t xml:space="preserve"> / Ivory Coast, government-aligned militias</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2;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231ECF" w:rsidRPr="00F62BA4" w:rsidRDefault="00231ECF" w:rsidP="00DE6C08">
      <w:pPr>
        <w:rPr>
          <w:rFonts w:ascii="Times New Roman" w:hAnsi="Times New Roman" w:cs="Times New Roman"/>
          <w:sz w:val="24"/>
          <w:szCs w:val="24"/>
        </w:rPr>
      </w:pPr>
      <w:r w:rsidRPr="00F62BA4">
        <w:rPr>
          <w:rFonts w:ascii="Times New Roman" w:hAnsi="Times New Roman" w:cs="Times New Roman"/>
          <w:sz w:val="24"/>
          <w:szCs w:val="24"/>
        </w:rPr>
        <w:tab/>
        <w:t>Ivory Coast’s civil war began as motive merged with opportunity for the largely Muslim northern region of the country. Amidst the chaos</w:t>
      </w:r>
      <w:r w:rsidR="00923110" w:rsidRPr="00F62BA4">
        <w:rPr>
          <w:rFonts w:ascii="Times New Roman" w:hAnsi="Times New Roman" w:cs="Times New Roman"/>
          <w:sz w:val="24"/>
          <w:szCs w:val="24"/>
        </w:rPr>
        <w:t xml:space="preserve"> surrounding a power transition in the country and a faile</w:t>
      </w:r>
      <w:r w:rsidR="00BA42A0" w:rsidRPr="00F62BA4">
        <w:rPr>
          <w:rFonts w:ascii="Times New Roman" w:hAnsi="Times New Roman" w:cs="Times New Roman"/>
          <w:sz w:val="24"/>
          <w:szCs w:val="24"/>
        </w:rPr>
        <w:t>d coup the Forces Nouvelles (</w:t>
      </w:r>
      <w:r w:rsidR="00923110" w:rsidRPr="00F62BA4">
        <w:rPr>
          <w:rFonts w:ascii="Times New Roman" w:hAnsi="Times New Roman" w:cs="Times New Roman"/>
          <w:sz w:val="24"/>
          <w:szCs w:val="24"/>
        </w:rPr>
        <w:t>“New Forces” in English) quickly gained control of the northern, inland region of the West African state.</w:t>
      </w:r>
      <w:r w:rsidR="00923110" w:rsidRPr="00F62BA4">
        <w:rPr>
          <w:rStyle w:val="FootnoteReference"/>
          <w:rFonts w:ascii="Times New Roman" w:hAnsi="Times New Roman" w:cs="Times New Roman"/>
          <w:sz w:val="24"/>
          <w:szCs w:val="24"/>
        </w:rPr>
        <w:footnoteReference w:id="276"/>
      </w:r>
      <w:r w:rsidR="00923110" w:rsidRPr="00F62BA4">
        <w:rPr>
          <w:rFonts w:ascii="Times New Roman" w:hAnsi="Times New Roman" w:cs="Times New Roman"/>
          <w:sz w:val="24"/>
          <w:szCs w:val="24"/>
        </w:rPr>
        <w:t xml:space="preserve"> Their raison de guerre appears to have been a policy of exclusion of the northern, largely Muslim population, brought on as ethnic tensions emerged in the wake of a struggling economy.</w:t>
      </w:r>
      <w:r w:rsidR="00923110" w:rsidRPr="00F62BA4">
        <w:rPr>
          <w:rStyle w:val="FootnoteReference"/>
          <w:rFonts w:ascii="Times New Roman" w:hAnsi="Times New Roman" w:cs="Times New Roman"/>
          <w:sz w:val="24"/>
          <w:szCs w:val="24"/>
        </w:rPr>
        <w:footnoteReference w:id="277"/>
      </w:r>
      <w:r w:rsidR="008350E7" w:rsidRPr="00F62BA4">
        <w:rPr>
          <w:rFonts w:ascii="Times New Roman" w:hAnsi="Times New Roman" w:cs="Times New Roman"/>
          <w:sz w:val="24"/>
          <w:szCs w:val="24"/>
        </w:rPr>
        <w:t xml:space="preserve"> In spite of the economic struggles that had gripped the country, the FN was successful in providing the goods of governance to the </w:t>
      </w:r>
      <w:r w:rsidR="008350E7" w:rsidRPr="00F62BA4">
        <w:rPr>
          <w:rFonts w:ascii="Times New Roman" w:hAnsi="Times New Roman" w:cs="Times New Roman"/>
          <w:sz w:val="24"/>
          <w:szCs w:val="24"/>
        </w:rPr>
        <w:lastRenderedPageBreak/>
        <w:t>populat</w:t>
      </w:r>
      <w:r w:rsidR="004010EB" w:rsidRPr="00F62BA4">
        <w:rPr>
          <w:rFonts w:ascii="Times New Roman" w:hAnsi="Times New Roman" w:cs="Times New Roman"/>
          <w:sz w:val="24"/>
          <w:szCs w:val="24"/>
        </w:rPr>
        <w:t>ion in its controlled territory, especially after the creation of La Centrale in 2004, an organization which provided a comprehensive framework for administering FN territory.</w:t>
      </w:r>
      <w:r w:rsidR="004010EB" w:rsidRPr="00F62BA4">
        <w:rPr>
          <w:rStyle w:val="FootnoteReference"/>
          <w:rFonts w:ascii="Times New Roman" w:hAnsi="Times New Roman" w:cs="Times New Roman"/>
          <w:sz w:val="24"/>
          <w:szCs w:val="24"/>
        </w:rPr>
        <w:footnoteReference w:id="278"/>
      </w:r>
    </w:p>
    <w:p w:rsidR="00EC324C" w:rsidRPr="00F62BA4" w:rsidRDefault="00065CF3"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In addition to an elaborate apparatus of taxation and regulation, FN produced functioning </w:t>
      </w:r>
      <w:r w:rsidR="005B1032">
        <w:rPr>
          <w:rFonts w:ascii="Times New Roman" w:hAnsi="Times New Roman" w:cs="Times New Roman"/>
          <w:sz w:val="24"/>
          <w:szCs w:val="24"/>
        </w:rPr>
        <w:t>policing and juridical</w:t>
      </w:r>
      <w:r w:rsidRPr="00F62BA4">
        <w:rPr>
          <w:rFonts w:ascii="Times New Roman" w:hAnsi="Times New Roman" w:cs="Times New Roman"/>
          <w:sz w:val="24"/>
          <w:szCs w:val="24"/>
        </w:rPr>
        <w:t xml:space="preserve"> functions in the northern regions of the state.</w:t>
      </w:r>
      <w:r w:rsidRPr="00F62BA4">
        <w:rPr>
          <w:rStyle w:val="FootnoteReference"/>
          <w:rFonts w:ascii="Times New Roman" w:hAnsi="Times New Roman" w:cs="Times New Roman"/>
          <w:sz w:val="24"/>
          <w:szCs w:val="24"/>
        </w:rPr>
        <w:footnoteReference w:id="279"/>
      </w:r>
      <w:r w:rsidR="00CB0BA6" w:rsidRPr="00F62BA4">
        <w:rPr>
          <w:rFonts w:ascii="Times New Roman" w:hAnsi="Times New Roman" w:cs="Times New Roman"/>
          <w:sz w:val="24"/>
          <w:szCs w:val="24"/>
        </w:rPr>
        <w:t xml:space="preserve"> Its functions had been coopted by acquisitive rebels by 2007, but these functions were nevertheless present over the course of the conflict. This is particularly the case in the wake of 2004’s reorganization, in which military, political, financial elements of the movement were given their own semi-autonomous wings. </w:t>
      </w:r>
      <w:r w:rsidR="00EC324C" w:rsidRPr="00F62BA4">
        <w:rPr>
          <w:rFonts w:ascii="Times New Roman" w:hAnsi="Times New Roman" w:cs="Times New Roman"/>
          <w:sz w:val="24"/>
          <w:szCs w:val="24"/>
        </w:rPr>
        <w:t xml:space="preserve">Even aside from cooption, the function of </w:t>
      </w:r>
      <w:r w:rsidR="005B1032">
        <w:rPr>
          <w:rFonts w:ascii="Times New Roman" w:hAnsi="Times New Roman" w:cs="Times New Roman"/>
          <w:sz w:val="24"/>
          <w:szCs w:val="24"/>
        </w:rPr>
        <w:t>policing and juridical</w:t>
      </w:r>
      <w:r w:rsidR="00EC324C" w:rsidRPr="00F62BA4">
        <w:rPr>
          <w:rFonts w:ascii="Times New Roman" w:hAnsi="Times New Roman" w:cs="Times New Roman"/>
          <w:sz w:val="24"/>
          <w:szCs w:val="24"/>
        </w:rPr>
        <w:t xml:space="preserve"> under FN was not perfect.</w:t>
      </w:r>
      <w:r w:rsidR="00EC324C" w:rsidRPr="00F62BA4">
        <w:rPr>
          <w:rStyle w:val="FootnoteReference"/>
          <w:rFonts w:ascii="Times New Roman" w:hAnsi="Times New Roman" w:cs="Times New Roman"/>
          <w:sz w:val="24"/>
          <w:szCs w:val="24"/>
        </w:rPr>
        <w:footnoteReference w:id="280"/>
      </w:r>
      <w:r w:rsidR="00EC324C" w:rsidRPr="00F62BA4">
        <w:rPr>
          <w:rFonts w:ascii="Times New Roman" w:hAnsi="Times New Roman" w:cs="Times New Roman"/>
          <w:sz w:val="24"/>
          <w:szCs w:val="24"/>
        </w:rPr>
        <w:t xml:space="preserve"> Although they excelled at maintaining internal domestic security, they were far less successful performing adjudicative functions. </w:t>
      </w:r>
      <w:r w:rsidR="00AF1739" w:rsidRPr="00F62BA4">
        <w:rPr>
          <w:rFonts w:ascii="Times New Roman" w:hAnsi="Times New Roman" w:cs="Times New Roman"/>
          <w:sz w:val="24"/>
          <w:szCs w:val="24"/>
        </w:rPr>
        <w:t>Their attempts at doing so took a few forms, but ultimately adjudicative functions were ceded to civil society actors who established such functions under FN supervision.</w:t>
      </w:r>
    </w:p>
    <w:p w:rsidR="007B34A6" w:rsidRPr="00F62BA4" w:rsidRDefault="00CB0BA6" w:rsidP="002D5E7A">
      <w:pPr>
        <w:ind w:firstLine="720"/>
        <w:rPr>
          <w:rFonts w:ascii="Times New Roman" w:hAnsi="Times New Roman" w:cs="Times New Roman"/>
          <w:sz w:val="24"/>
          <w:szCs w:val="24"/>
        </w:rPr>
      </w:pPr>
      <w:r w:rsidRPr="00F62BA4">
        <w:rPr>
          <w:rFonts w:ascii="Times New Roman" w:hAnsi="Times New Roman" w:cs="Times New Roman"/>
          <w:sz w:val="24"/>
          <w:szCs w:val="24"/>
        </w:rPr>
        <w:t>Similarly, although schools and hospitals were already present in spite of the Ivorian state’s lack of reach in the country’s Northeast region, the FN did oversee the construction of additional education and healthcare facilities.</w:t>
      </w:r>
      <w:r w:rsidRPr="00F62BA4">
        <w:rPr>
          <w:rStyle w:val="FootnoteReference"/>
          <w:rFonts w:ascii="Times New Roman" w:hAnsi="Times New Roman" w:cs="Times New Roman"/>
          <w:sz w:val="24"/>
          <w:szCs w:val="24"/>
        </w:rPr>
        <w:footnoteReference w:id="281"/>
      </w:r>
      <w:r w:rsidR="00BA694F" w:rsidRPr="00F62BA4">
        <w:rPr>
          <w:rFonts w:ascii="Times New Roman" w:hAnsi="Times New Roman" w:cs="Times New Roman"/>
          <w:sz w:val="24"/>
          <w:szCs w:val="24"/>
        </w:rPr>
        <w:t xml:space="preserve"> This is important as many Ivorians had been resentful at the degree to which these projects relied on volunteer organizations.</w:t>
      </w:r>
      <w:r w:rsidR="00BA694F" w:rsidRPr="00F62BA4">
        <w:rPr>
          <w:rStyle w:val="FootnoteReference"/>
          <w:rFonts w:ascii="Times New Roman" w:hAnsi="Times New Roman" w:cs="Times New Roman"/>
          <w:sz w:val="24"/>
          <w:szCs w:val="24"/>
        </w:rPr>
        <w:footnoteReference w:id="282"/>
      </w:r>
      <w:r w:rsidR="00D76D7C" w:rsidRPr="00F62BA4">
        <w:rPr>
          <w:rFonts w:ascii="Times New Roman" w:hAnsi="Times New Roman" w:cs="Times New Roman"/>
          <w:sz w:val="24"/>
          <w:szCs w:val="24"/>
        </w:rPr>
        <w:t xml:space="preserve"> With that said, the availability of education and</w:t>
      </w:r>
      <w:r w:rsidR="005E463C" w:rsidRPr="00F62BA4">
        <w:rPr>
          <w:rFonts w:ascii="Times New Roman" w:hAnsi="Times New Roman" w:cs="Times New Roman"/>
          <w:sz w:val="24"/>
          <w:szCs w:val="24"/>
        </w:rPr>
        <w:t xml:space="preserve"> (especially)</w:t>
      </w:r>
      <w:r w:rsidR="00D76D7C" w:rsidRPr="00F62BA4">
        <w:rPr>
          <w:rFonts w:ascii="Times New Roman" w:hAnsi="Times New Roman" w:cs="Times New Roman"/>
          <w:sz w:val="24"/>
          <w:szCs w:val="24"/>
        </w:rPr>
        <w:t xml:space="preserve"> medicine </w:t>
      </w:r>
      <w:r w:rsidR="005E463C" w:rsidRPr="00F62BA4">
        <w:rPr>
          <w:rFonts w:ascii="Times New Roman" w:hAnsi="Times New Roman" w:cs="Times New Roman"/>
          <w:sz w:val="24"/>
          <w:szCs w:val="24"/>
        </w:rPr>
        <w:t>was limited in rebel-controlled areas.</w:t>
      </w:r>
      <w:r w:rsidR="005E463C" w:rsidRPr="00F62BA4">
        <w:rPr>
          <w:rStyle w:val="FootnoteReference"/>
          <w:rFonts w:ascii="Times New Roman" w:hAnsi="Times New Roman" w:cs="Times New Roman"/>
          <w:sz w:val="24"/>
          <w:szCs w:val="24"/>
        </w:rPr>
        <w:footnoteReference w:id="283"/>
      </w:r>
      <w:r w:rsidR="007B34A6" w:rsidRPr="00F62BA4">
        <w:rPr>
          <w:rFonts w:ascii="Times New Roman" w:hAnsi="Times New Roman" w:cs="Times New Roman"/>
          <w:sz w:val="24"/>
          <w:szCs w:val="24"/>
        </w:rPr>
        <w:t xml:space="preserve"> This was especially disappointing to Ivorians who had seen the dispensation of medical treatment in the wake of rebel victories by said rebel medics.</w:t>
      </w:r>
      <w:r w:rsidR="007B34A6" w:rsidRPr="00F62BA4">
        <w:rPr>
          <w:rStyle w:val="FootnoteReference"/>
          <w:rFonts w:ascii="Times New Roman" w:hAnsi="Times New Roman" w:cs="Times New Roman"/>
          <w:sz w:val="24"/>
          <w:szCs w:val="24"/>
        </w:rPr>
        <w:footnoteReference w:id="284"/>
      </w:r>
    </w:p>
    <w:p w:rsidR="00EC324C" w:rsidRPr="00F62BA4" w:rsidRDefault="00EC324C" w:rsidP="00DE6C08">
      <w:pPr>
        <w:rPr>
          <w:rFonts w:ascii="Times New Roman" w:hAnsi="Times New Roman" w:cs="Times New Roman"/>
          <w:sz w:val="24"/>
          <w:szCs w:val="24"/>
        </w:rPr>
      </w:pPr>
      <w:r w:rsidRPr="00F62BA4">
        <w:rPr>
          <w:rFonts w:ascii="Times New Roman" w:hAnsi="Times New Roman" w:cs="Times New Roman"/>
          <w:sz w:val="24"/>
          <w:szCs w:val="24"/>
        </w:rPr>
        <w:tab/>
        <w:t>The FN struggled to engender lasting popular support for their movement in spite of these functions, though. Although in part due to the governance functions being coopted for the enrichment of rebels</w:t>
      </w:r>
      <w:r w:rsidRPr="00F62BA4">
        <w:rPr>
          <w:rStyle w:val="FootnoteReference"/>
          <w:rFonts w:ascii="Times New Roman" w:hAnsi="Times New Roman" w:cs="Times New Roman"/>
          <w:sz w:val="24"/>
          <w:szCs w:val="24"/>
        </w:rPr>
        <w:footnoteReference w:id="285"/>
      </w:r>
      <w:r w:rsidRPr="00F62BA4">
        <w:rPr>
          <w:rFonts w:ascii="Times New Roman" w:hAnsi="Times New Roman" w:cs="Times New Roman"/>
          <w:sz w:val="24"/>
          <w:szCs w:val="24"/>
        </w:rPr>
        <w:t xml:space="preserve"> and the perception among the Lobi people that the FN was taxing them e</w:t>
      </w:r>
      <w:r w:rsidR="002D5E7A" w:rsidRPr="00F62BA4">
        <w:rPr>
          <w:rFonts w:ascii="Times New Roman" w:hAnsi="Times New Roman" w:cs="Times New Roman"/>
          <w:sz w:val="24"/>
          <w:szCs w:val="24"/>
        </w:rPr>
        <w:t xml:space="preserve">specially heavily, the ineffectuality </w:t>
      </w:r>
      <w:r w:rsidRPr="00F62BA4">
        <w:rPr>
          <w:rFonts w:ascii="Times New Roman" w:hAnsi="Times New Roman" w:cs="Times New Roman"/>
          <w:sz w:val="24"/>
          <w:szCs w:val="24"/>
        </w:rPr>
        <w:t xml:space="preserve">of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did not help matters. Indeed, the FN actively undermined what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existed as a part of the previous regime.</w:t>
      </w:r>
      <w:r w:rsidRPr="00F62BA4">
        <w:rPr>
          <w:rStyle w:val="FootnoteReference"/>
          <w:rFonts w:ascii="Times New Roman" w:hAnsi="Times New Roman" w:cs="Times New Roman"/>
          <w:sz w:val="24"/>
          <w:szCs w:val="24"/>
        </w:rPr>
        <w:footnoteReference w:id="286"/>
      </w:r>
      <w:r w:rsidR="00CB55E5" w:rsidRPr="00F62BA4">
        <w:rPr>
          <w:rFonts w:ascii="Times New Roman" w:hAnsi="Times New Roman" w:cs="Times New Roman"/>
          <w:sz w:val="24"/>
          <w:szCs w:val="24"/>
        </w:rPr>
        <w:t xml:space="preserve"> </w:t>
      </w:r>
      <w:r w:rsidR="00AF1739" w:rsidRPr="00F62BA4">
        <w:rPr>
          <w:rFonts w:ascii="Times New Roman" w:hAnsi="Times New Roman" w:cs="Times New Roman"/>
          <w:sz w:val="24"/>
          <w:szCs w:val="24"/>
        </w:rPr>
        <w:t xml:space="preserve">However, the FN did </w:t>
      </w:r>
      <w:r w:rsidR="002D5E7A" w:rsidRPr="00F62BA4">
        <w:rPr>
          <w:rFonts w:ascii="Times New Roman" w:hAnsi="Times New Roman" w:cs="Times New Roman"/>
          <w:sz w:val="24"/>
          <w:szCs w:val="24"/>
        </w:rPr>
        <w:t>contain an organ intended to mobilize popular support and register discontent known as the Délégant General.</w:t>
      </w:r>
      <w:r w:rsidR="002D5E7A" w:rsidRPr="00F62BA4">
        <w:rPr>
          <w:rStyle w:val="FootnoteReference"/>
          <w:rFonts w:ascii="Times New Roman" w:hAnsi="Times New Roman" w:cs="Times New Roman"/>
          <w:sz w:val="24"/>
          <w:szCs w:val="24"/>
        </w:rPr>
        <w:footnoteReference w:id="287"/>
      </w:r>
      <w:r w:rsidR="002D5E7A" w:rsidRPr="00F62BA4">
        <w:rPr>
          <w:rFonts w:ascii="Times New Roman" w:hAnsi="Times New Roman" w:cs="Times New Roman"/>
          <w:sz w:val="24"/>
          <w:szCs w:val="24"/>
        </w:rPr>
        <w:t xml:space="preserve"> Additionally, this organization was </w:t>
      </w:r>
      <w:r w:rsidR="002D5E7A" w:rsidRPr="00F62BA4">
        <w:rPr>
          <w:rFonts w:ascii="Times New Roman" w:hAnsi="Times New Roman" w:cs="Times New Roman"/>
          <w:sz w:val="24"/>
          <w:szCs w:val="24"/>
        </w:rPr>
        <w:lastRenderedPageBreak/>
        <w:t xml:space="preserve">intended to make decisions regarding the dedication of resources to provide public goods (as well as coordinating relationships with NGOs for similar purposes). However, FN’s attempts at </w:t>
      </w:r>
      <w:r w:rsidR="005B1032">
        <w:rPr>
          <w:rFonts w:ascii="Times New Roman" w:hAnsi="Times New Roman" w:cs="Times New Roman"/>
          <w:sz w:val="24"/>
          <w:szCs w:val="24"/>
        </w:rPr>
        <w:t>consultative instruments</w:t>
      </w:r>
      <w:r w:rsidR="002D5E7A" w:rsidRPr="00F62BA4">
        <w:rPr>
          <w:rFonts w:ascii="Times New Roman" w:hAnsi="Times New Roman" w:cs="Times New Roman"/>
          <w:sz w:val="24"/>
          <w:szCs w:val="24"/>
        </w:rPr>
        <w:t xml:space="preserve"> were not terribly successful.</w:t>
      </w:r>
      <w:r w:rsidR="00CB55E5" w:rsidRPr="00F62BA4">
        <w:rPr>
          <w:rFonts w:ascii="Times New Roman" w:hAnsi="Times New Roman" w:cs="Times New Roman"/>
          <w:sz w:val="24"/>
          <w:szCs w:val="24"/>
        </w:rPr>
        <w:t xml:space="preserve"> For instance,</w:t>
      </w:r>
      <w:r w:rsidR="00AF1739" w:rsidRPr="00F62BA4">
        <w:rPr>
          <w:rFonts w:ascii="Times New Roman" w:hAnsi="Times New Roman" w:cs="Times New Roman"/>
          <w:sz w:val="24"/>
          <w:szCs w:val="24"/>
        </w:rPr>
        <w:t xml:space="preserve"> </w:t>
      </w:r>
      <w:r w:rsidR="00CB55E5" w:rsidRPr="00F62BA4">
        <w:rPr>
          <w:rFonts w:ascii="Times New Roman" w:hAnsi="Times New Roman" w:cs="Times New Roman"/>
          <w:sz w:val="24"/>
          <w:szCs w:val="24"/>
        </w:rPr>
        <w:t>the</w:t>
      </w:r>
      <w:r w:rsidR="00AF1739" w:rsidRPr="00F62BA4">
        <w:rPr>
          <w:rFonts w:ascii="Times New Roman" w:hAnsi="Times New Roman" w:cs="Times New Roman"/>
          <w:sz w:val="24"/>
          <w:szCs w:val="24"/>
        </w:rPr>
        <w:t xml:space="preserve"> function</w:t>
      </w:r>
      <w:r w:rsidR="00CB55E5" w:rsidRPr="00F62BA4">
        <w:rPr>
          <w:rFonts w:ascii="Times New Roman" w:hAnsi="Times New Roman" w:cs="Times New Roman"/>
          <w:sz w:val="24"/>
          <w:szCs w:val="24"/>
        </w:rPr>
        <w:t xml:space="preserve"> of public meetings to register dissent was diminished</w:t>
      </w:r>
      <w:r w:rsidR="00AF1739" w:rsidRPr="00F62BA4">
        <w:rPr>
          <w:rFonts w:ascii="Times New Roman" w:hAnsi="Times New Roman" w:cs="Times New Roman"/>
          <w:sz w:val="24"/>
          <w:szCs w:val="24"/>
        </w:rPr>
        <w:t xml:space="preserve"> by the fact that even politicians felt </w:t>
      </w:r>
      <w:r w:rsidR="00CB55E5" w:rsidRPr="00F62BA4">
        <w:rPr>
          <w:rFonts w:ascii="Times New Roman" w:hAnsi="Times New Roman" w:cs="Times New Roman"/>
          <w:sz w:val="24"/>
          <w:szCs w:val="24"/>
        </w:rPr>
        <w:t>intimidated into acquiescence.</w:t>
      </w:r>
      <w:r w:rsidR="00AF1739" w:rsidRPr="00F62BA4">
        <w:rPr>
          <w:rFonts w:ascii="Times New Roman" w:hAnsi="Times New Roman" w:cs="Times New Roman"/>
          <w:sz w:val="24"/>
          <w:szCs w:val="24"/>
        </w:rPr>
        <w:t>By conflict’s end, popular sentiment was strong enough that dissent against its rule was registered, but response to it was underwhelming; the FN did not begin ceding autonomy to local civil society actors until well after this</w:t>
      </w:r>
      <w:r w:rsidR="005E463C" w:rsidRPr="00F62BA4">
        <w:rPr>
          <w:rFonts w:ascii="Times New Roman" w:hAnsi="Times New Roman" w:cs="Times New Roman"/>
          <w:sz w:val="24"/>
          <w:szCs w:val="24"/>
        </w:rPr>
        <w:t xml:space="preserve"> chapter of the</w:t>
      </w:r>
      <w:r w:rsidR="00AF1739" w:rsidRPr="00F62BA4">
        <w:rPr>
          <w:rFonts w:ascii="Times New Roman" w:hAnsi="Times New Roman" w:cs="Times New Roman"/>
          <w:sz w:val="24"/>
          <w:szCs w:val="24"/>
        </w:rPr>
        <w:t xml:space="preserve"> conflict had ended.</w:t>
      </w:r>
      <w:r w:rsidR="00CB55E5" w:rsidRPr="00F62BA4">
        <w:rPr>
          <w:rStyle w:val="FootnoteReference"/>
          <w:rFonts w:ascii="Times New Roman" w:hAnsi="Times New Roman" w:cs="Times New Roman"/>
          <w:sz w:val="24"/>
          <w:szCs w:val="24"/>
        </w:rPr>
        <w:footnoteReference w:id="288"/>
      </w:r>
    </w:p>
    <w:p w:rsidR="00FE77E7" w:rsidRPr="00F62BA4" w:rsidRDefault="00FE77E7" w:rsidP="00DE6C08">
      <w:pPr>
        <w:rPr>
          <w:rFonts w:ascii="Times New Roman" w:hAnsi="Times New Roman" w:cs="Times New Roman"/>
          <w:b/>
          <w:sz w:val="24"/>
          <w:szCs w:val="24"/>
        </w:rPr>
      </w:pPr>
      <w:r w:rsidRPr="00F62BA4">
        <w:rPr>
          <w:rFonts w:ascii="Times New Roman" w:hAnsi="Times New Roman" w:cs="Times New Roman"/>
          <w:b/>
          <w:sz w:val="24"/>
          <w:szCs w:val="24"/>
        </w:rPr>
        <w:t>Kosovo (1998-1999)</w:t>
      </w:r>
    </w:p>
    <w:p w:rsidR="00FE77E7" w:rsidRPr="00F62BA4" w:rsidRDefault="00FE77E7" w:rsidP="00DE6C08">
      <w:pPr>
        <w:rPr>
          <w:rFonts w:ascii="Times New Roman" w:hAnsi="Times New Roman" w:cs="Times New Roman"/>
          <w:sz w:val="24"/>
          <w:szCs w:val="24"/>
        </w:rPr>
      </w:pPr>
      <w:r w:rsidRPr="00F62BA4">
        <w:rPr>
          <w:rFonts w:ascii="Times New Roman" w:hAnsi="Times New Roman" w:cs="Times New Roman"/>
          <w:sz w:val="24"/>
          <w:szCs w:val="24"/>
        </w:rPr>
        <w:t>Rebels: Kosovo Liberation Army (KLA) / Serbia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w:t>
      </w:r>
      <w:r w:rsidR="00C0716F">
        <w:rPr>
          <w:rFonts w:ascii="Times New Roman" w:hAnsi="Times New Roman" w:cs="Times New Roman"/>
          <w:b/>
          <w:sz w:val="24"/>
          <w:szCs w:val="24"/>
        </w:rPr>
        <w:t>1</w:t>
      </w:r>
      <w:r w:rsidR="00D9746E"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FE77E7" w:rsidRPr="00F62BA4" w:rsidRDefault="00FE77E7" w:rsidP="00DE6C08">
      <w:pPr>
        <w:rPr>
          <w:rFonts w:ascii="Times New Roman" w:hAnsi="Times New Roman" w:cs="Times New Roman"/>
          <w:sz w:val="24"/>
          <w:szCs w:val="24"/>
        </w:rPr>
      </w:pPr>
      <w:r w:rsidRPr="00F62BA4">
        <w:rPr>
          <w:rFonts w:ascii="Times New Roman" w:hAnsi="Times New Roman" w:cs="Times New Roman"/>
          <w:sz w:val="24"/>
          <w:szCs w:val="24"/>
        </w:rPr>
        <w:tab/>
        <w:t>Displeased with the outcomes of the various civil wars that emerged from Yugoslavia’s disintegration, the KLA staged a brief insurgency at the end of the 1990’s.</w:t>
      </w:r>
      <w:r w:rsidRPr="00F62BA4">
        <w:rPr>
          <w:rStyle w:val="FootnoteReference"/>
          <w:rFonts w:ascii="Times New Roman" w:hAnsi="Times New Roman" w:cs="Times New Roman"/>
          <w:sz w:val="24"/>
          <w:szCs w:val="24"/>
        </w:rPr>
        <w:footnoteReference w:id="289"/>
      </w:r>
      <w:r w:rsidRPr="00F62BA4">
        <w:rPr>
          <w:rFonts w:ascii="Times New Roman" w:hAnsi="Times New Roman" w:cs="Times New Roman"/>
          <w:sz w:val="24"/>
          <w:szCs w:val="24"/>
        </w:rPr>
        <w:t xml:space="preserve"> While some have argued that the KLA should have been treated as a terrorist organization,</w:t>
      </w:r>
      <w:r w:rsidRPr="00F62BA4">
        <w:rPr>
          <w:rStyle w:val="FootnoteReference"/>
          <w:rFonts w:ascii="Times New Roman" w:hAnsi="Times New Roman" w:cs="Times New Roman"/>
          <w:sz w:val="24"/>
          <w:szCs w:val="24"/>
        </w:rPr>
        <w:footnoteReference w:id="290"/>
      </w:r>
      <w:r w:rsidR="00E34167" w:rsidRPr="00F62BA4">
        <w:rPr>
          <w:rFonts w:ascii="Times New Roman" w:hAnsi="Times New Roman" w:cs="Times New Roman"/>
          <w:sz w:val="24"/>
          <w:szCs w:val="24"/>
        </w:rPr>
        <w:t xml:space="preserve"> others point to the continued repression experienced by the non-Serbian population at the hands of Serbian President Slobodan Milosevic as reason enough for the KLA’s resort to violence. The KLA’s success rested to a large extent on its ability to convince others to intervene on its behalf, but it took pains to cultivate genuine popular support.</w:t>
      </w:r>
    </w:p>
    <w:p w:rsidR="005075ED" w:rsidRDefault="005075ED" w:rsidP="00DE6C08">
      <w:pPr>
        <w:rPr>
          <w:rFonts w:ascii="Times New Roman" w:hAnsi="Times New Roman" w:cs="Times New Roman"/>
          <w:sz w:val="24"/>
          <w:szCs w:val="24"/>
        </w:rPr>
      </w:pPr>
      <w:r w:rsidRPr="00F62BA4">
        <w:rPr>
          <w:rFonts w:ascii="Times New Roman" w:hAnsi="Times New Roman" w:cs="Times New Roman"/>
          <w:sz w:val="24"/>
          <w:szCs w:val="24"/>
        </w:rPr>
        <w:tab/>
        <w:t>In part due to Milosevic’s use of ethnic cleansing and recruitment of criminal elements to help contain the insurgency, the KLA had few opportunities to establish parallel governance structures.</w:t>
      </w:r>
      <w:r w:rsidRPr="00F62BA4">
        <w:rPr>
          <w:rStyle w:val="FootnoteReference"/>
          <w:rFonts w:ascii="Times New Roman" w:hAnsi="Times New Roman" w:cs="Times New Roman"/>
          <w:sz w:val="24"/>
          <w:szCs w:val="24"/>
        </w:rPr>
        <w:footnoteReference w:id="291"/>
      </w:r>
      <w:r w:rsidRPr="00F62BA4">
        <w:rPr>
          <w:rFonts w:ascii="Times New Roman" w:hAnsi="Times New Roman" w:cs="Times New Roman"/>
          <w:sz w:val="24"/>
          <w:szCs w:val="24"/>
        </w:rPr>
        <w:t xml:space="preserve"> They did try to leverage their continued existence and resistance to provide ethnic Albanians with the Woodian “pleasure of agency,” demonstrating to the put-upon population that resistance was indeed possible.</w:t>
      </w:r>
      <w:r w:rsidR="00423571" w:rsidRPr="00F62BA4">
        <w:rPr>
          <w:rFonts w:ascii="Times New Roman" w:hAnsi="Times New Roman" w:cs="Times New Roman"/>
          <w:sz w:val="24"/>
          <w:szCs w:val="24"/>
        </w:rPr>
        <w:t xml:space="preserve"> The KLA appeared to willingly surrender some of its autonomy in 1999, though, as international involvement became more likely in the wake of the Racak Massacre.</w:t>
      </w:r>
      <w:r w:rsidR="00423571" w:rsidRPr="00F62BA4">
        <w:rPr>
          <w:rStyle w:val="FootnoteReference"/>
          <w:rFonts w:ascii="Times New Roman" w:hAnsi="Times New Roman" w:cs="Times New Roman"/>
          <w:sz w:val="24"/>
          <w:szCs w:val="24"/>
        </w:rPr>
        <w:footnoteReference w:id="292"/>
      </w:r>
      <w:r w:rsidR="00423571" w:rsidRPr="00F62BA4">
        <w:rPr>
          <w:rFonts w:ascii="Times New Roman" w:hAnsi="Times New Roman" w:cs="Times New Roman"/>
          <w:sz w:val="24"/>
          <w:szCs w:val="24"/>
        </w:rPr>
        <w:t xml:space="preserve"> This was, after all, a major goal of the insurgency—attract foreign intervention so that Serbian military might could be effectively countered.</w:t>
      </w:r>
    </w:p>
    <w:p w:rsidR="00C0716F" w:rsidRPr="00F62BA4" w:rsidRDefault="00C0716F" w:rsidP="00DE6C08">
      <w:pPr>
        <w:rPr>
          <w:rFonts w:ascii="Times New Roman" w:hAnsi="Times New Roman" w:cs="Times New Roman"/>
          <w:sz w:val="24"/>
          <w:szCs w:val="24"/>
        </w:rPr>
      </w:pPr>
      <w:r>
        <w:rPr>
          <w:rFonts w:ascii="Times New Roman" w:hAnsi="Times New Roman" w:cs="Times New Roman"/>
          <w:sz w:val="24"/>
          <w:szCs w:val="24"/>
        </w:rPr>
        <w:tab/>
        <w:t>Beyond this, it appears that the KLA was able to organize some degree of healthcare provision. Medical professionals who volunteered to assist the KLA were organized by operational zone, with each zone coordinated by a health services coordinator. While clearly beneficial to fighters, it appears that the majority of the patients seen were civilians.</w:t>
      </w:r>
      <w:r>
        <w:rPr>
          <w:rStyle w:val="FootnoteReference"/>
          <w:rFonts w:ascii="Times New Roman" w:hAnsi="Times New Roman" w:cs="Times New Roman"/>
          <w:sz w:val="24"/>
          <w:szCs w:val="24"/>
        </w:rPr>
        <w:footnoteReference w:id="293"/>
      </w:r>
    </w:p>
    <w:p w:rsidR="00423571" w:rsidRPr="00F62BA4" w:rsidRDefault="00423571" w:rsidP="00DE6C08">
      <w:pPr>
        <w:rPr>
          <w:rFonts w:ascii="Times New Roman" w:hAnsi="Times New Roman" w:cs="Times New Roman"/>
          <w:sz w:val="24"/>
          <w:szCs w:val="24"/>
        </w:rPr>
      </w:pPr>
      <w:r w:rsidRPr="00F62BA4">
        <w:rPr>
          <w:rFonts w:ascii="Times New Roman" w:hAnsi="Times New Roman" w:cs="Times New Roman"/>
          <w:sz w:val="24"/>
          <w:szCs w:val="24"/>
        </w:rPr>
        <w:tab/>
        <w:t>The postwar period is particularly instructive.</w:t>
      </w:r>
      <w:r w:rsidR="000966CF" w:rsidRPr="00F62BA4">
        <w:rPr>
          <w:rFonts w:ascii="Times New Roman" w:hAnsi="Times New Roman" w:cs="Times New Roman"/>
          <w:sz w:val="24"/>
          <w:szCs w:val="24"/>
        </w:rPr>
        <w:t xml:space="preserve"> The KLA, conquering heroes of Kosovar Albanians, became a growing political problem, as mayhem committed by young “fighters” </w:t>
      </w:r>
      <w:r w:rsidR="000966CF" w:rsidRPr="00F62BA4">
        <w:rPr>
          <w:rFonts w:ascii="Times New Roman" w:hAnsi="Times New Roman" w:cs="Times New Roman"/>
          <w:sz w:val="24"/>
          <w:szCs w:val="24"/>
        </w:rPr>
        <w:lastRenderedPageBreak/>
        <w:t>claiming to be KLA veterans became more than just a public nuisance.</w:t>
      </w:r>
      <w:r w:rsidR="000966CF" w:rsidRPr="00F62BA4">
        <w:rPr>
          <w:rStyle w:val="FootnoteReference"/>
          <w:rFonts w:ascii="Times New Roman" w:hAnsi="Times New Roman" w:cs="Times New Roman"/>
          <w:sz w:val="24"/>
          <w:szCs w:val="24"/>
        </w:rPr>
        <w:footnoteReference w:id="294"/>
      </w:r>
      <w:r w:rsidRPr="00F62BA4">
        <w:rPr>
          <w:rFonts w:ascii="Times New Roman" w:hAnsi="Times New Roman" w:cs="Times New Roman"/>
          <w:sz w:val="24"/>
          <w:szCs w:val="24"/>
        </w:rPr>
        <w:t xml:space="preserve"> </w:t>
      </w:r>
      <w:r w:rsidR="000966CF" w:rsidRPr="00F62BA4">
        <w:rPr>
          <w:rFonts w:ascii="Times New Roman" w:hAnsi="Times New Roman" w:cs="Times New Roman"/>
          <w:sz w:val="24"/>
          <w:szCs w:val="24"/>
        </w:rPr>
        <w:t>This became one of the factors driving Kosovo’s elections—in order to prevent rule by insurgent fighters, Kosovo’s population must have the opportunity to vote for someone else. This is significant as it demonstrates the relative lack of a political project during the conflict. The sum total of the KLA’s political project was secession by force of arms, hopefully supported by foreign intervention</w:t>
      </w:r>
      <w:r w:rsidR="00C0716F">
        <w:rPr>
          <w:rFonts w:ascii="Times New Roman" w:hAnsi="Times New Roman" w:cs="Times New Roman"/>
          <w:sz w:val="24"/>
          <w:szCs w:val="24"/>
        </w:rPr>
        <w:t>.</w:t>
      </w:r>
    </w:p>
    <w:p w:rsidR="00B13937" w:rsidRDefault="00B13937" w:rsidP="00DE6C08">
      <w:pPr>
        <w:rPr>
          <w:rFonts w:ascii="Times New Roman" w:hAnsi="Times New Roman" w:cs="Times New Roman"/>
          <w:b/>
          <w:sz w:val="24"/>
          <w:szCs w:val="24"/>
        </w:rPr>
      </w:pPr>
      <w:r>
        <w:rPr>
          <w:rFonts w:ascii="Times New Roman" w:hAnsi="Times New Roman" w:cs="Times New Roman"/>
          <w:b/>
          <w:sz w:val="24"/>
          <w:szCs w:val="24"/>
        </w:rPr>
        <w:t>Lebanon (1975-1990)</w:t>
      </w:r>
    </w:p>
    <w:p w:rsidR="00B13937" w:rsidRDefault="00B13937" w:rsidP="00DE6C08">
      <w:pPr>
        <w:rPr>
          <w:rFonts w:ascii="Times New Roman" w:hAnsi="Times New Roman" w:cs="Times New Roman"/>
          <w:sz w:val="24"/>
          <w:szCs w:val="24"/>
        </w:rPr>
      </w:pPr>
      <w:r>
        <w:rPr>
          <w:rFonts w:ascii="Times New Roman" w:hAnsi="Times New Roman" w:cs="Times New Roman"/>
          <w:sz w:val="24"/>
          <w:szCs w:val="24"/>
        </w:rPr>
        <w:t>Rebels / Incumbents:</w:t>
      </w:r>
      <w:r w:rsidR="00C64D81">
        <w:rPr>
          <w:rFonts w:ascii="Times New Roman" w:hAnsi="Times New Roman" w:cs="Times New Roman"/>
          <w:sz w:val="24"/>
          <w:szCs w:val="24"/>
        </w:rPr>
        <w:t xml:space="preserve"> </w:t>
      </w:r>
      <w:r w:rsidR="00EC765A">
        <w:rPr>
          <w:rFonts w:ascii="Times New Roman" w:hAnsi="Times New Roman" w:cs="Times New Roman"/>
          <w:sz w:val="24"/>
          <w:szCs w:val="24"/>
        </w:rPr>
        <w:t>Muslim militias,</w:t>
      </w:r>
      <w:r w:rsidR="008A04CA">
        <w:rPr>
          <w:rStyle w:val="FootnoteReference"/>
          <w:rFonts w:ascii="Times New Roman" w:hAnsi="Times New Roman" w:cs="Times New Roman"/>
          <w:sz w:val="24"/>
          <w:szCs w:val="24"/>
        </w:rPr>
        <w:footnoteReference w:id="295"/>
      </w:r>
      <w:r w:rsidR="00EC765A">
        <w:rPr>
          <w:rFonts w:ascii="Times New Roman" w:hAnsi="Times New Roman" w:cs="Times New Roman"/>
          <w:sz w:val="24"/>
          <w:szCs w:val="24"/>
        </w:rPr>
        <w:t xml:space="preserve"> Syria, Palestine Liberation Organization (PLO)</w:t>
      </w:r>
      <w:r>
        <w:rPr>
          <w:rFonts w:ascii="Times New Roman" w:hAnsi="Times New Roman" w:cs="Times New Roman"/>
          <w:sz w:val="24"/>
          <w:szCs w:val="24"/>
        </w:rPr>
        <w:t xml:space="preserve"> /</w:t>
      </w:r>
      <w:r w:rsidR="00C64D81">
        <w:rPr>
          <w:rFonts w:ascii="Times New Roman" w:hAnsi="Times New Roman" w:cs="Times New Roman"/>
          <w:sz w:val="24"/>
          <w:szCs w:val="24"/>
        </w:rPr>
        <w:t xml:space="preserve"> Lebanon, Chri</w:t>
      </w:r>
      <w:r w:rsidR="00EC765A">
        <w:rPr>
          <w:rFonts w:ascii="Times New Roman" w:hAnsi="Times New Roman" w:cs="Times New Roman"/>
          <w:sz w:val="24"/>
          <w:szCs w:val="24"/>
        </w:rPr>
        <w:t>stian militias, Israel</w:t>
      </w:r>
    </w:p>
    <w:p w:rsidR="00D9746E"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w:t>
      </w:r>
      <w:r w:rsidR="00D9746E">
        <w:rPr>
          <w:rFonts w:ascii="Times New Roman" w:hAnsi="Times New Roman" w:cs="Times New Roman"/>
          <w:b/>
          <w:sz w:val="24"/>
          <w:szCs w:val="24"/>
        </w:rPr>
        <w:t>0</w:t>
      </w:r>
      <w:r w:rsidR="00D9746E" w:rsidRPr="00F62BA4">
        <w:rPr>
          <w:rFonts w:ascii="Times New Roman" w:hAnsi="Times New Roman" w:cs="Times New Roman"/>
          <w:b/>
          <w:sz w:val="24"/>
          <w:szCs w:val="24"/>
        </w:rPr>
        <w:t xml:space="preserve">; Public Goods: </w:t>
      </w:r>
      <w:r w:rsidR="00D9746E">
        <w:rPr>
          <w:rFonts w:ascii="Times New Roman" w:hAnsi="Times New Roman" w:cs="Times New Roman"/>
          <w:b/>
          <w:sz w:val="24"/>
          <w:szCs w:val="24"/>
        </w:rPr>
        <w:t>1</w:t>
      </w:r>
      <w:r w:rsidR="00D9746E"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xml:space="preserve">: </w:t>
      </w:r>
      <w:r w:rsidR="00D9746E">
        <w:rPr>
          <w:rFonts w:ascii="Times New Roman" w:hAnsi="Times New Roman" w:cs="Times New Roman"/>
          <w:b/>
          <w:sz w:val="24"/>
          <w:szCs w:val="24"/>
        </w:rPr>
        <w:t>0</w:t>
      </w:r>
    </w:p>
    <w:p w:rsidR="00CF6256" w:rsidRDefault="00EC765A" w:rsidP="00DE6C08">
      <w:pPr>
        <w:rPr>
          <w:rFonts w:ascii="Times New Roman" w:hAnsi="Times New Roman" w:cs="Times New Roman"/>
          <w:sz w:val="24"/>
          <w:szCs w:val="24"/>
        </w:rPr>
      </w:pPr>
      <w:r>
        <w:rPr>
          <w:rFonts w:ascii="Times New Roman" w:hAnsi="Times New Roman" w:cs="Times New Roman"/>
          <w:sz w:val="24"/>
          <w:szCs w:val="24"/>
        </w:rPr>
        <w:tab/>
        <w:t>The Lebanese Civil War is extraordinarily complicated. In addition to the scores of “sides” which participate, the coalitions collapse and reform several times over the war’s 15 years. Making matters still more complicated, the war has three distinct stages. The initial conflict burns out quickly, lasting only from 1975 to 1976.</w:t>
      </w:r>
      <w:r>
        <w:rPr>
          <w:rStyle w:val="FootnoteReference"/>
          <w:rFonts w:ascii="Times New Roman" w:hAnsi="Times New Roman" w:cs="Times New Roman"/>
          <w:sz w:val="24"/>
          <w:szCs w:val="24"/>
        </w:rPr>
        <w:footnoteReference w:id="296"/>
      </w:r>
      <w:r>
        <w:rPr>
          <w:rFonts w:ascii="Times New Roman" w:hAnsi="Times New Roman" w:cs="Times New Roman"/>
          <w:sz w:val="24"/>
          <w:szCs w:val="24"/>
        </w:rPr>
        <w:t xml:space="preserve"> </w:t>
      </w:r>
      <w:r w:rsidR="00504386">
        <w:rPr>
          <w:rFonts w:ascii="Times New Roman" w:hAnsi="Times New Roman" w:cs="Times New Roman"/>
          <w:sz w:val="24"/>
          <w:szCs w:val="24"/>
        </w:rPr>
        <w:t>Syria intervened in 1976 (although not on the side of the Muslim Lebanese National Movement (LNM)), in part out of fear of what might happen should the conflict continue to rage on but in part out of fear of what might happen should the LNM’s PLO allies come to dominate the alliance.</w:t>
      </w:r>
      <w:r w:rsidR="00504386">
        <w:rPr>
          <w:rStyle w:val="FootnoteReference"/>
          <w:rFonts w:ascii="Times New Roman" w:hAnsi="Times New Roman" w:cs="Times New Roman"/>
          <w:sz w:val="24"/>
          <w:szCs w:val="24"/>
        </w:rPr>
        <w:footnoteReference w:id="297"/>
      </w:r>
      <w:r w:rsidR="00504386">
        <w:rPr>
          <w:rFonts w:ascii="Times New Roman" w:hAnsi="Times New Roman" w:cs="Times New Roman"/>
          <w:sz w:val="24"/>
          <w:szCs w:val="24"/>
        </w:rPr>
        <w:t xml:space="preserve"> </w:t>
      </w:r>
      <w:r w:rsidR="00921186">
        <w:rPr>
          <w:rFonts w:ascii="Times New Roman" w:hAnsi="Times New Roman" w:cs="Times New Roman"/>
          <w:sz w:val="24"/>
          <w:szCs w:val="24"/>
        </w:rPr>
        <w:t>Between 1976 and 1982, the Lebanese government (under the watchful eye of Syria) attempted to work out an agreement between the warring sides.</w:t>
      </w:r>
      <w:r w:rsidR="00921186">
        <w:rPr>
          <w:rStyle w:val="FootnoteReference"/>
          <w:rFonts w:ascii="Times New Roman" w:hAnsi="Times New Roman" w:cs="Times New Roman"/>
          <w:sz w:val="24"/>
          <w:szCs w:val="24"/>
        </w:rPr>
        <w:footnoteReference w:id="298"/>
      </w:r>
      <w:r w:rsidR="00921186">
        <w:rPr>
          <w:rFonts w:ascii="Times New Roman" w:hAnsi="Times New Roman" w:cs="Times New Roman"/>
          <w:sz w:val="24"/>
          <w:szCs w:val="24"/>
        </w:rPr>
        <w:t xml:space="preserve"> </w:t>
      </w:r>
    </w:p>
    <w:p w:rsidR="00EC765A" w:rsidRDefault="00A016D9" w:rsidP="00CF6256">
      <w:pPr>
        <w:ind w:firstLine="720"/>
        <w:rPr>
          <w:rFonts w:ascii="Times New Roman" w:hAnsi="Times New Roman" w:cs="Times New Roman"/>
          <w:sz w:val="24"/>
          <w:szCs w:val="24"/>
        </w:rPr>
      </w:pPr>
      <w:r>
        <w:rPr>
          <w:rFonts w:ascii="Times New Roman" w:hAnsi="Times New Roman" w:cs="Times New Roman"/>
          <w:sz w:val="24"/>
          <w:szCs w:val="24"/>
        </w:rPr>
        <w:t xml:space="preserve">This simmering conflict transformed back into all out war </w:t>
      </w:r>
      <w:r w:rsidR="00921186">
        <w:rPr>
          <w:rFonts w:ascii="Times New Roman" w:hAnsi="Times New Roman" w:cs="Times New Roman"/>
          <w:sz w:val="24"/>
          <w:szCs w:val="24"/>
        </w:rPr>
        <w:t>shattered when Israel invaded in 1982</w:t>
      </w:r>
      <w:r w:rsidR="00CF6256">
        <w:rPr>
          <w:rFonts w:ascii="Times New Roman" w:hAnsi="Times New Roman" w:cs="Times New Roman"/>
          <w:sz w:val="24"/>
          <w:szCs w:val="24"/>
        </w:rPr>
        <w:t>, allying itself with the Christian Lebanese Front (LF)</w:t>
      </w:r>
      <w:r w:rsidR="00921186">
        <w:rPr>
          <w:rFonts w:ascii="Times New Roman" w:hAnsi="Times New Roman" w:cs="Times New Roman"/>
          <w:sz w:val="24"/>
          <w:szCs w:val="24"/>
        </w:rPr>
        <w:t>.</w:t>
      </w:r>
      <w:r w:rsidR="00CF6256">
        <w:rPr>
          <w:rStyle w:val="FootnoteReference"/>
          <w:rFonts w:ascii="Times New Roman" w:hAnsi="Times New Roman" w:cs="Times New Roman"/>
          <w:sz w:val="24"/>
          <w:szCs w:val="24"/>
        </w:rPr>
        <w:footnoteReference w:id="299"/>
      </w:r>
      <w:r w:rsidR="00CF6256">
        <w:rPr>
          <w:rFonts w:ascii="Times New Roman" w:hAnsi="Times New Roman" w:cs="Times New Roman"/>
          <w:sz w:val="24"/>
          <w:szCs w:val="24"/>
        </w:rPr>
        <w:t xml:space="preserve"> Amal and the Progressive Social Party</w:t>
      </w:r>
      <w:r w:rsidR="009D1F73">
        <w:rPr>
          <w:rFonts w:ascii="Times New Roman" w:hAnsi="Times New Roman" w:cs="Times New Roman"/>
          <w:sz w:val="24"/>
          <w:szCs w:val="24"/>
        </w:rPr>
        <w:t xml:space="preserve"> (PSP)</w:t>
      </w:r>
      <w:r w:rsidR="00CF6256">
        <w:rPr>
          <w:rFonts w:ascii="Times New Roman" w:hAnsi="Times New Roman" w:cs="Times New Roman"/>
          <w:sz w:val="24"/>
          <w:szCs w:val="24"/>
        </w:rPr>
        <w:t xml:space="preserve"> composed the largest Muslim coalition at this point, with both parties emerging from the dilapidating </w:t>
      </w:r>
      <w:r w:rsidR="003A6E41">
        <w:rPr>
          <w:rFonts w:ascii="Times New Roman" w:hAnsi="Times New Roman" w:cs="Times New Roman"/>
          <w:sz w:val="24"/>
          <w:szCs w:val="24"/>
        </w:rPr>
        <w:t>LNM-PLO alliance</w:t>
      </w:r>
      <w:r w:rsidR="00CF6256">
        <w:rPr>
          <w:rFonts w:ascii="Times New Roman" w:hAnsi="Times New Roman" w:cs="Times New Roman"/>
          <w:sz w:val="24"/>
          <w:szCs w:val="24"/>
        </w:rPr>
        <w:t xml:space="preserve">. </w:t>
      </w:r>
      <w:r w:rsidR="009D1F73">
        <w:rPr>
          <w:rFonts w:ascii="Times New Roman" w:hAnsi="Times New Roman" w:cs="Times New Roman"/>
          <w:sz w:val="24"/>
          <w:szCs w:val="24"/>
        </w:rPr>
        <w:t xml:space="preserve">While the LF, PSP, and Amal hammered out the terms of the Taif Agreement which would ultimately serve as the </w:t>
      </w:r>
      <w:r w:rsidR="008A04CA">
        <w:rPr>
          <w:rFonts w:ascii="Times New Roman" w:hAnsi="Times New Roman" w:cs="Times New Roman"/>
          <w:sz w:val="24"/>
          <w:szCs w:val="24"/>
        </w:rPr>
        <w:t>instrument by which the war was ended, Hezbollah began to emerge in 1988, largely as a result of Iranian patronage</w:t>
      </w:r>
      <w:r>
        <w:rPr>
          <w:rFonts w:ascii="Times New Roman" w:hAnsi="Times New Roman" w:cs="Times New Roman"/>
          <w:sz w:val="24"/>
          <w:szCs w:val="24"/>
        </w:rPr>
        <w:t xml:space="preserve"> and direction</w:t>
      </w:r>
      <w:r w:rsidR="008A04CA">
        <w:rPr>
          <w:rFonts w:ascii="Times New Roman" w:hAnsi="Times New Roman" w:cs="Times New Roman"/>
          <w:sz w:val="24"/>
          <w:szCs w:val="24"/>
        </w:rPr>
        <w:t>.</w:t>
      </w:r>
      <w:r w:rsidR="008A04CA">
        <w:rPr>
          <w:rStyle w:val="FootnoteReference"/>
          <w:rFonts w:ascii="Times New Roman" w:hAnsi="Times New Roman" w:cs="Times New Roman"/>
          <w:sz w:val="24"/>
          <w:szCs w:val="24"/>
        </w:rPr>
        <w:footnoteReference w:id="300"/>
      </w:r>
    </w:p>
    <w:p w:rsidR="00B5235F" w:rsidRDefault="00BD77B4" w:rsidP="00CF6256">
      <w:pPr>
        <w:ind w:firstLine="720"/>
        <w:rPr>
          <w:rFonts w:ascii="Times New Roman" w:hAnsi="Times New Roman" w:cs="Times New Roman"/>
          <w:sz w:val="24"/>
          <w:szCs w:val="24"/>
        </w:rPr>
      </w:pPr>
      <w:r>
        <w:rPr>
          <w:rFonts w:ascii="Times New Roman" w:hAnsi="Times New Roman" w:cs="Times New Roman"/>
          <w:sz w:val="24"/>
          <w:szCs w:val="24"/>
        </w:rPr>
        <w:lastRenderedPageBreak/>
        <w:t>In spite of the large number of combatants in the conflict, rebel governance was hard to come by.</w:t>
      </w:r>
      <w:r w:rsidR="007B56C5">
        <w:rPr>
          <w:rFonts w:ascii="Times New Roman" w:hAnsi="Times New Roman" w:cs="Times New Roman"/>
          <w:sz w:val="24"/>
          <w:szCs w:val="24"/>
        </w:rPr>
        <w:t xml:space="preserve"> The constant rearrangement of alliances</w:t>
      </w:r>
      <w:r w:rsidR="007B56C5">
        <w:rPr>
          <w:rStyle w:val="FootnoteReference"/>
          <w:rFonts w:ascii="Times New Roman" w:hAnsi="Times New Roman" w:cs="Times New Roman"/>
          <w:sz w:val="24"/>
          <w:szCs w:val="24"/>
        </w:rPr>
        <w:footnoteReference w:id="301"/>
      </w:r>
      <w:r w:rsidR="007B56C5">
        <w:rPr>
          <w:rFonts w:ascii="Times New Roman" w:hAnsi="Times New Roman" w:cs="Times New Roman"/>
          <w:sz w:val="24"/>
          <w:szCs w:val="24"/>
        </w:rPr>
        <w:t xml:space="preserve"> contributed to this, as did the nominal functioning of the state and state services, even as their actual provision collapsed. The most culpable appears to have been the groups themselves, who often endeavored to secure some sort of concessions instead of territory.</w:t>
      </w:r>
      <w:r w:rsidR="007B56C5">
        <w:rPr>
          <w:rStyle w:val="FootnoteReference"/>
          <w:rFonts w:ascii="Times New Roman" w:hAnsi="Times New Roman" w:cs="Times New Roman"/>
          <w:sz w:val="24"/>
          <w:szCs w:val="24"/>
        </w:rPr>
        <w:footnoteReference w:id="302"/>
      </w:r>
      <w:r w:rsidR="007B56C5">
        <w:rPr>
          <w:rFonts w:ascii="Times New Roman" w:hAnsi="Times New Roman" w:cs="Times New Roman"/>
          <w:sz w:val="24"/>
          <w:szCs w:val="24"/>
        </w:rPr>
        <w:t xml:space="preserve"> This undoubtedly reduced the costs of such campaigns—it is far easier to inflict pain than to establish some means of administering territory and people.</w:t>
      </w:r>
    </w:p>
    <w:p w:rsidR="00A016D9" w:rsidRPr="00B13937" w:rsidRDefault="00A016D9" w:rsidP="00CF6256">
      <w:pPr>
        <w:ind w:firstLine="720"/>
        <w:rPr>
          <w:rFonts w:ascii="Times New Roman" w:hAnsi="Times New Roman" w:cs="Times New Roman"/>
          <w:sz w:val="24"/>
          <w:szCs w:val="24"/>
        </w:rPr>
      </w:pPr>
      <w:r>
        <w:rPr>
          <w:rFonts w:ascii="Times New Roman" w:hAnsi="Times New Roman" w:cs="Times New Roman"/>
          <w:sz w:val="24"/>
          <w:szCs w:val="24"/>
        </w:rPr>
        <w:t>This was not always the case, though. Early in the conflict, Christian militias coordinated to try and secure a contiguous Christian enclave.</w:t>
      </w:r>
      <w:r>
        <w:rPr>
          <w:rStyle w:val="FootnoteReference"/>
          <w:rFonts w:ascii="Times New Roman" w:hAnsi="Times New Roman" w:cs="Times New Roman"/>
          <w:sz w:val="24"/>
          <w:szCs w:val="24"/>
        </w:rPr>
        <w:footnoteReference w:id="303"/>
      </w:r>
      <w:r>
        <w:rPr>
          <w:rFonts w:ascii="Times New Roman" w:hAnsi="Times New Roman" w:cs="Times New Roman"/>
          <w:sz w:val="24"/>
          <w:szCs w:val="24"/>
        </w:rPr>
        <w:t xml:space="preserve"> Interestingly, though, the only evidence of rebel governan</w:t>
      </w:r>
      <w:r w:rsidR="00725768">
        <w:rPr>
          <w:rFonts w:ascii="Times New Roman" w:hAnsi="Times New Roman" w:cs="Times New Roman"/>
          <w:sz w:val="24"/>
          <w:szCs w:val="24"/>
        </w:rPr>
        <w:t>ce came at the hands of the PLO, who had relocated much of their infrastructure from Jordan to Lebanon before the war began.</w:t>
      </w:r>
      <w:r w:rsidR="00725768">
        <w:rPr>
          <w:rStyle w:val="FootnoteReference"/>
          <w:rFonts w:ascii="Times New Roman" w:hAnsi="Times New Roman" w:cs="Times New Roman"/>
          <w:sz w:val="24"/>
          <w:szCs w:val="24"/>
        </w:rPr>
        <w:footnoteReference w:id="304"/>
      </w:r>
      <w:r w:rsidR="0096616B">
        <w:rPr>
          <w:rFonts w:ascii="Times New Roman" w:hAnsi="Times New Roman" w:cs="Times New Roman"/>
          <w:sz w:val="24"/>
          <w:szCs w:val="24"/>
        </w:rPr>
        <w:t xml:space="preserve"> This infrastructure included the Palestinian Red Crescent Society (PRCS), which operated clinics and hospitals within Lebanon (albeit not exclusively for their benefit).</w:t>
      </w:r>
      <w:r w:rsidR="0096616B">
        <w:rPr>
          <w:rStyle w:val="FootnoteReference"/>
          <w:rFonts w:ascii="Times New Roman" w:hAnsi="Times New Roman" w:cs="Times New Roman"/>
          <w:sz w:val="24"/>
          <w:szCs w:val="24"/>
        </w:rPr>
        <w:footnoteReference w:id="305"/>
      </w:r>
      <w:r w:rsidR="0096616B">
        <w:rPr>
          <w:rFonts w:ascii="Times New Roman" w:hAnsi="Times New Roman" w:cs="Times New Roman"/>
          <w:sz w:val="24"/>
          <w:szCs w:val="24"/>
        </w:rPr>
        <w:t xml:space="preserve"> The organization also runs a teacher’s union, but this appears to have been incorporated within the larger infrastructure of Lebanese education, not as a parallel institution within controlled territory.</w:t>
      </w:r>
      <w:r w:rsidR="0096616B">
        <w:rPr>
          <w:rStyle w:val="FootnoteReference"/>
          <w:rFonts w:ascii="Times New Roman" w:hAnsi="Times New Roman" w:cs="Times New Roman"/>
          <w:sz w:val="24"/>
          <w:szCs w:val="24"/>
        </w:rPr>
        <w:footnoteReference w:id="306"/>
      </w:r>
      <w:r w:rsidR="0096616B">
        <w:rPr>
          <w:rFonts w:ascii="Times New Roman" w:hAnsi="Times New Roman" w:cs="Times New Roman"/>
          <w:sz w:val="24"/>
          <w:szCs w:val="24"/>
        </w:rPr>
        <w:t xml:space="preserve"> Additionally, although the PLO sports a complex system of consensus governance, this system operates outside of territorial bounds—indeed, the largest delegation within the central committee as of 1982 was in Jordan. However, it appears that this manifestation was some form of rebel governance—indeed,</w:t>
      </w:r>
      <w:r w:rsidR="00003FA5">
        <w:rPr>
          <w:rFonts w:ascii="Times New Roman" w:hAnsi="Times New Roman" w:cs="Times New Roman"/>
          <w:sz w:val="24"/>
          <w:szCs w:val="24"/>
        </w:rPr>
        <w:t xml:space="preserve"> Edouard Ghurra, Lebanon’s delegate to the UN,</w:t>
      </w:r>
      <w:r w:rsidR="0096616B">
        <w:rPr>
          <w:rFonts w:ascii="Times New Roman" w:hAnsi="Times New Roman" w:cs="Times New Roman"/>
          <w:sz w:val="24"/>
          <w:szCs w:val="24"/>
        </w:rPr>
        <w:t xml:space="preserve"> described the PLO as operating a “state within a state”</w:t>
      </w:r>
      <w:r w:rsidR="00003FA5">
        <w:rPr>
          <w:rFonts w:ascii="Times New Roman" w:hAnsi="Times New Roman" w:cs="Times New Roman"/>
          <w:sz w:val="24"/>
          <w:szCs w:val="24"/>
        </w:rPr>
        <w:t xml:space="preserve"> as a means of establishing the group’s nefarious intentions.</w:t>
      </w:r>
      <w:r w:rsidR="0096616B">
        <w:rPr>
          <w:rStyle w:val="FootnoteReference"/>
          <w:rFonts w:ascii="Times New Roman" w:hAnsi="Times New Roman" w:cs="Times New Roman"/>
          <w:sz w:val="24"/>
          <w:szCs w:val="24"/>
        </w:rPr>
        <w:footnoteReference w:id="307"/>
      </w:r>
      <w:r w:rsidR="00020B24">
        <w:rPr>
          <w:rFonts w:ascii="Times New Roman" w:hAnsi="Times New Roman" w:cs="Times New Roman"/>
          <w:sz w:val="24"/>
          <w:szCs w:val="24"/>
        </w:rPr>
        <w:t xml:space="preserve"> Israel’s invasion in 1982 spelled the end of the PLO</w:t>
      </w:r>
      <w:r w:rsidR="00020B24">
        <w:rPr>
          <w:rStyle w:val="FootnoteReference"/>
          <w:rFonts w:ascii="Times New Roman" w:hAnsi="Times New Roman" w:cs="Times New Roman"/>
          <w:sz w:val="24"/>
          <w:szCs w:val="24"/>
        </w:rPr>
        <w:footnoteReference w:id="308"/>
      </w:r>
      <w:r w:rsidR="00020B24">
        <w:rPr>
          <w:rFonts w:ascii="Times New Roman" w:hAnsi="Times New Roman" w:cs="Times New Roman"/>
          <w:sz w:val="24"/>
          <w:szCs w:val="24"/>
        </w:rPr>
        <w:t xml:space="preserve"> as it had operated previously,</w:t>
      </w:r>
      <w:r w:rsidR="00020B24">
        <w:rPr>
          <w:rStyle w:val="FootnoteReference"/>
          <w:rFonts w:ascii="Times New Roman" w:hAnsi="Times New Roman" w:cs="Times New Roman"/>
          <w:sz w:val="24"/>
          <w:szCs w:val="24"/>
        </w:rPr>
        <w:footnoteReference w:id="309"/>
      </w:r>
      <w:r w:rsidR="00020B24">
        <w:rPr>
          <w:rFonts w:ascii="Times New Roman" w:hAnsi="Times New Roman" w:cs="Times New Roman"/>
          <w:sz w:val="24"/>
          <w:szCs w:val="24"/>
        </w:rPr>
        <w:t xml:space="preserve"> but these attempts at governance are noteworthy all the same.</w:t>
      </w:r>
    </w:p>
    <w:p w:rsidR="006E6F94" w:rsidRPr="00F62BA4" w:rsidRDefault="006E6F94" w:rsidP="00DE6C08">
      <w:pPr>
        <w:rPr>
          <w:rFonts w:ascii="Times New Roman" w:hAnsi="Times New Roman" w:cs="Times New Roman"/>
          <w:b/>
          <w:sz w:val="24"/>
          <w:szCs w:val="24"/>
        </w:rPr>
      </w:pPr>
      <w:r w:rsidRPr="00F62BA4">
        <w:rPr>
          <w:rFonts w:ascii="Times New Roman" w:hAnsi="Times New Roman" w:cs="Times New Roman"/>
          <w:b/>
          <w:sz w:val="24"/>
          <w:szCs w:val="24"/>
        </w:rPr>
        <w:t>Liberia (1989-1993)</w:t>
      </w:r>
    </w:p>
    <w:p w:rsidR="00C6277E" w:rsidRPr="00F62BA4" w:rsidRDefault="006E6F94"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C22C96" w:rsidRPr="00F62BA4">
        <w:rPr>
          <w:rFonts w:ascii="Times New Roman" w:hAnsi="Times New Roman" w:cs="Times New Roman"/>
          <w:sz w:val="24"/>
          <w:szCs w:val="24"/>
        </w:rPr>
        <w:t xml:space="preserve"> National Patriotic Front of Liberia</w:t>
      </w:r>
      <w:r w:rsidR="005E44E1">
        <w:rPr>
          <w:rFonts w:ascii="Times New Roman" w:hAnsi="Times New Roman" w:cs="Times New Roman"/>
          <w:sz w:val="24"/>
          <w:szCs w:val="24"/>
        </w:rPr>
        <w:t xml:space="preserve"> (NPFL)</w:t>
      </w:r>
      <w:r w:rsidR="00837B9E" w:rsidRPr="00F62BA4">
        <w:rPr>
          <w:rFonts w:ascii="Times New Roman" w:hAnsi="Times New Roman" w:cs="Times New Roman"/>
          <w:sz w:val="24"/>
          <w:szCs w:val="24"/>
        </w:rPr>
        <w:t xml:space="preserve"> </w:t>
      </w:r>
      <w:r w:rsidR="00C22C96" w:rsidRPr="00F62BA4">
        <w:rPr>
          <w:rFonts w:ascii="Times New Roman" w:hAnsi="Times New Roman" w:cs="Times New Roman"/>
          <w:sz w:val="24"/>
          <w:szCs w:val="24"/>
        </w:rPr>
        <w:t>/ Liberia</w:t>
      </w:r>
      <w:r w:rsidR="00837B9E" w:rsidRPr="00F62BA4">
        <w:rPr>
          <w:rFonts w:ascii="Times New Roman" w:hAnsi="Times New Roman" w:cs="Times New Roman"/>
          <w:sz w:val="24"/>
          <w:szCs w:val="24"/>
        </w:rPr>
        <w:t xml:space="preserve"> (later ULIMO)</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6E6F94" w:rsidRPr="00F62BA4" w:rsidRDefault="00C6277E"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Liberia’s first civil war brought with it a rapid descent into </w:t>
      </w:r>
      <w:r w:rsidR="00C22C96" w:rsidRPr="00F62BA4">
        <w:rPr>
          <w:rFonts w:ascii="Times New Roman" w:hAnsi="Times New Roman" w:cs="Times New Roman"/>
          <w:sz w:val="24"/>
          <w:szCs w:val="24"/>
        </w:rPr>
        <w:t>pandemonium. President Samuel Doe suffered a distressing deficit of legitimacy stemming from allegations that his 1985 election had been determined by way of electoral fraud.</w:t>
      </w:r>
      <w:r w:rsidR="00C22C96" w:rsidRPr="00F62BA4">
        <w:rPr>
          <w:rStyle w:val="FootnoteReference"/>
          <w:rFonts w:ascii="Times New Roman" w:hAnsi="Times New Roman" w:cs="Times New Roman"/>
          <w:sz w:val="24"/>
          <w:szCs w:val="24"/>
        </w:rPr>
        <w:footnoteReference w:id="310"/>
      </w:r>
      <w:r w:rsidR="00C22C96" w:rsidRPr="00F62BA4">
        <w:rPr>
          <w:rFonts w:ascii="Times New Roman" w:hAnsi="Times New Roman" w:cs="Times New Roman"/>
          <w:sz w:val="24"/>
          <w:szCs w:val="24"/>
        </w:rPr>
        <w:t xml:space="preserve"> Worse, even though rebel forces controlled the vast majority of the country outside of the capital Monrovia, NPFL leader Charles </w:t>
      </w:r>
      <w:r w:rsidR="00C22C96" w:rsidRPr="00F62BA4">
        <w:rPr>
          <w:rFonts w:ascii="Times New Roman" w:hAnsi="Times New Roman" w:cs="Times New Roman"/>
          <w:sz w:val="24"/>
          <w:szCs w:val="24"/>
        </w:rPr>
        <w:lastRenderedPageBreak/>
        <w:t>Taylor seemed singul</w:t>
      </w:r>
      <w:r w:rsidR="005F7661" w:rsidRPr="00F62BA4">
        <w:rPr>
          <w:rFonts w:ascii="Times New Roman" w:hAnsi="Times New Roman" w:cs="Times New Roman"/>
          <w:sz w:val="24"/>
          <w:szCs w:val="24"/>
        </w:rPr>
        <w:t>arly disinterested in governing, even when it came to disciplining his own forces.</w:t>
      </w:r>
      <w:r w:rsidR="005F7661" w:rsidRPr="00F62BA4">
        <w:rPr>
          <w:rStyle w:val="FootnoteReference"/>
          <w:rFonts w:ascii="Times New Roman" w:hAnsi="Times New Roman" w:cs="Times New Roman"/>
          <w:sz w:val="24"/>
          <w:szCs w:val="24"/>
        </w:rPr>
        <w:footnoteReference w:id="311"/>
      </w:r>
    </w:p>
    <w:p w:rsidR="00A86A5E" w:rsidRPr="00F62BA4" w:rsidRDefault="00FE2637" w:rsidP="00DE6C08">
      <w:pPr>
        <w:rPr>
          <w:rFonts w:ascii="Times New Roman" w:hAnsi="Times New Roman" w:cs="Times New Roman"/>
          <w:sz w:val="24"/>
          <w:szCs w:val="24"/>
        </w:rPr>
      </w:pPr>
      <w:r w:rsidRPr="00F62BA4">
        <w:rPr>
          <w:rFonts w:ascii="Times New Roman" w:hAnsi="Times New Roman" w:cs="Times New Roman"/>
          <w:sz w:val="24"/>
          <w:szCs w:val="24"/>
        </w:rPr>
        <w:tab/>
      </w:r>
      <w:r w:rsidR="005F7661" w:rsidRPr="00F62BA4">
        <w:rPr>
          <w:rFonts w:ascii="Times New Roman" w:hAnsi="Times New Roman" w:cs="Times New Roman"/>
          <w:sz w:val="24"/>
          <w:szCs w:val="24"/>
        </w:rPr>
        <w:t>In these early stages, the closest thing to policing came in the form of brutal reprisals against starving looters on the part of what passed for the standing armies in the conflict.</w:t>
      </w:r>
      <w:r w:rsidR="005F7661" w:rsidRPr="00F62BA4">
        <w:rPr>
          <w:rStyle w:val="FootnoteReference"/>
          <w:rFonts w:ascii="Times New Roman" w:hAnsi="Times New Roman" w:cs="Times New Roman"/>
          <w:sz w:val="24"/>
          <w:szCs w:val="24"/>
        </w:rPr>
        <w:footnoteReference w:id="312"/>
      </w:r>
      <w:r w:rsidR="005F7661" w:rsidRPr="00F62BA4">
        <w:rPr>
          <w:rFonts w:ascii="Times New Roman" w:hAnsi="Times New Roman" w:cs="Times New Roman"/>
          <w:sz w:val="24"/>
          <w:szCs w:val="24"/>
        </w:rPr>
        <w:t xml:space="preserve"> The general lack of discipline on the part of the rebels and the lack of interest in policing their newfound territory meant that the NPFL were contributing to the war’s chaos rather than causing it to abate. </w:t>
      </w:r>
      <w:r w:rsidR="005366F4" w:rsidRPr="00F62BA4">
        <w:rPr>
          <w:rFonts w:ascii="Times New Roman" w:hAnsi="Times New Roman" w:cs="Times New Roman"/>
          <w:sz w:val="24"/>
          <w:szCs w:val="24"/>
        </w:rPr>
        <w:t>This diminished somewhat after the war’s first spasms of brutality, although it was hardly due to Taylor’s (or his lieutenants’) direct efforts.</w:t>
      </w:r>
      <w:r w:rsidR="005366F4" w:rsidRPr="00F62BA4">
        <w:rPr>
          <w:rStyle w:val="FootnoteReference"/>
          <w:rFonts w:ascii="Times New Roman" w:hAnsi="Times New Roman" w:cs="Times New Roman"/>
          <w:sz w:val="24"/>
          <w:szCs w:val="24"/>
        </w:rPr>
        <w:footnoteReference w:id="313"/>
      </w:r>
      <w:r w:rsidR="005366F4" w:rsidRPr="00F62BA4">
        <w:rPr>
          <w:rFonts w:ascii="Times New Roman" w:hAnsi="Times New Roman" w:cs="Times New Roman"/>
          <w:sz w:val="24"/>
          <w:szCs w:val="24"/>
        </w:rPr>
        <w:t xml:space="preserve"> He encouraged traditional sources of localized authority to operate as they had previously but did nothing to directly aid in their administration of justice.</w:t>
      </w:r>
      <w:r w:rsidR="005366F4" w:rsidRPr="00F62BA4">
        <w:rPr>
          <w:rStyle w:val="FootnoteReference"/>
          <w:rFonts w:ascii="Times New Roman" w:hAnsi="Times New Roman" w:cs="Times New Roman"/>
          <w:sz w:val="24"/>
          <w:szCs w:val="24"/>
        </w:rPr>
        <w:footnoteReference w:id="314"/>
      </w:r>
      <w:r w:rsidR="005366F4" w:rsidRPr="00F62BA4">
        <w:rPr>
          <w:rFonts w:ascii="Times New Roman" w:hAnsi="Times New Roman" w:cs="Times New Roman"/>
          <w:sz w:val="24"/>
          <w:szCs w:val="24"/>
        </w:rPr>
        <w:t xml:space="preserve"> </w:t>
      </w:r>
    </w:p>
    <w:p w:rsidR="00FE2637" w:rsidRPr="00F62BA4" w:rsidRDefault="005F7661" w:rsidP="005F7661">
      <w:pPr>
        <w:ind w:firstLine="720"/>
        <w:rPr>
          <w:rFonts w:ascii="Times New Roman" w:hAnsi="Times New Roman" w:cs="Times New Roman"/>
          <w:sz w:val="24"/>
          <w:szCs w:val="24"/>
        </w:rPr>
      </w:pPr>
      <w:r w:rsidRPr="00F62BA4">
        <w:rPr>
          <w:rFonts w:ascii="Times New Roman" w:hAnsi="Times New Roman" w:cs="Times New Roman"/>
          <w:sz w:val="24"/>
          <w:szCs w:val="24"/>
        </w:rPr>
        <w:t>Health provision was also especially poor. The country’s hospitals ceased functioning almost as soon as the war began, leaving patients in desperately squalid conditions.</w:t>
      </w:r>
      <w:r w:rsidR="00206275" w:rsidRPr="00F62BA4">
        <w:rPr>
          <w:rStyle w:val="FootnoteReference"/>
          <w:rFonts w:ascii="Times New Roman" w:hAnsi="Times New Roman" w:cs="Times New Roman"/>
          <w:sz w:val="24"/>
          <w:szCs w:val="24"/>
        </w:rPr>
        <w:footnoteReference w:id="315"/>
      </w:r>
      <w:r w:rsidR="002F6E24" w:rsidRPr="00F62BA4">
        <w:rPr>
          <w:rFonts w:ascii="Times New Roman" w:hAnsi="Times New Roman" w:cs="Times New Roman"/>
          <w:sz w:val="24"/>
          <w:szCs w:val="24"/>
        </w:rPr>
        <w:t xml:space="preserve"> Lack of funds, staff, and even electricity meant that the sick or injured were better off fending for themselves than going to a hospital. </w:t>
      </w:r>
      <w:r w:rsidR="002C1EAE" w:rsidRPr="00F62BA4">
        <w:rPr>
          <w:rFonts w:ascii="Times New Roman" w:hAnsi="Times New Roman" w:cs="Times New Roman"/>
          <w:sz w:val="24"/>
          <w:szCs w:val="24"/>
        </w:rPr>
        <w:t>Schools suffered similar neglect—mass education was not a priority in the midst of the conflict, and so its provision dwindled.</w:t>
      </w:r>
      <w:r w:rsidR="002C1EAE" w:rsidRPr="00F62BA4">
        <w:rPr>
          <w:rStyle w:val="FootnoteReference"/>
          <w:rFonts w:ascii="Times New Roman" w:hAnsi="Times New Roman" w:cs="Times New Roman"/>
          <w:sz w:val="24"/>
          <w:szCs w:val="24"/>
        </w:rPr>
        <w:footnoteReference w:id="316"/>
      </w:r>
    </w:p>
    <w:p w:rsidR="00A86A5E" w:rsidRPr="00F62BA4" w:rsidRDefault="00FC5C0B" w:rsidP="005F7661">
      <w:pPr>
        <w:ind w:firstLine="720"/>
        <w:rPr>
          <w:rFonts w:ascii="Times New Roman" w:hAnsi="Times New Roman" w:cs="Times New Roman"/>
          <w:sz w:val="24"/>
          <w:szCs w:val="24"/>
        </w:rPr>
      </w:pPr>
      <w:r w:rsidRPr="00F62BA4">
        <w:rPr>
          <w:rFonts w:ascii="Times New Roman" w:hAnsi="Times New Roman" w:cs="Times New Roman"/>
          <w:sz w:val="24"/>
          <w:szCs w:val="24"/>
        </w:rPr>
        <w:t xml:space="preserve">Although one could be forgiven for believing that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had either formed or functioned over the conflict’s course, this is not the case.</w:t>
      </w:r>
      <w:r w:rsidR="00A86A5E" w:rsidRPr="00F62BA4">
        <w:rPr>
          <w:rStyle w:val="FootnoteReference"/>
          <w:rFonts w:ascii="Times New Roman" w:hAnsi="Times New Roman" w:cs="Times New Roman"/>
          <w:sz w:val="24"/>
          <w:szCs w:val="24"/>
        </w:rPr>
        <w:footnoteReference w:id="317"/>
      </w:r>
      <w:r w:rsidRPr="00F62BA4">
        <w:rPr>
          <w:rFonts w:ascii="Times New Roman" w:hAnsi="Times New Roman" w:cs="Times New Roman"/>
          <w:sz w:val="24"/>
          <w:szCs w:val="24"/>
        </w:rPr>
        <w:t xml:space="preserve"> Originally, elections had been scheduled for October, 1991. These elections were never held. There </w:t>
      </w:r>
      <w:r w:rsidRPr="00F62BA4">
        <w:rPr>
          <w:rFonts w:ascii="Times New Roman" w:hAnsi="Times New Roman" w:cs="Times New Roman"/>
          <w:i/>
          <w:sz w:val="24"/>
          <w:szCs w:val="24"/>
        </w:rPr>
        <w:t>was</w:t>
      </w:r>
      <w:r w:rsidRPr="00F62BA4">
        <w:rPr>
          <w:rFonts w:ascii="Times New Roman" w:hAnsi="Times New Roman" w:cs="Times New Roman"/>
          <w:sz w:val="24"/>
          <w:szCs w:val="24"/>
        </w:rPr>
        <w:t xml:space="preserve"> an election held for an interim president in 1990, won by Amos Sawyer.</w:t>
      </w:r>
      <w:r w:rsidR="00206275" w:rsidRPr="00F62BA4">
        <w:rPr>
          <w:rStyle w:val="FootnoteReference"/>
          <w:rFonts w:ascii="Times New Roman" w:hAnsi="Times New Roman" w:cs="Times New Roman"/>
          <w:sz w:val="24"/>
          <w:szCs w:val="24"/>
        </w:rPr>
        <w:footnoteReference w:id="318"/>
      </w:r>
      <w:r w:rsidRPr="00F62BA4">
        <w:rPr>
          <w:rFonts w:ascii="Times New Roman" w:hAnsi="Times New Roman" w:cs="Times New Roman"/>
          <w:sz w:val="24"/>
          <w:szCs w:val="24"/>
        </w:rPr>
        <w:t xml:space="preserve"> However, </w:t>
      </w:r>
      <w:r w:rsidR="00206275" w:rsidRPr="00F62BA4">
        <w:rPr>
          <w:rFonts w:ascii="Times New Roman" w:hAnsi="Times New Roman" w:cs="Times New Roman"/>
          <w:sz w:val="24"/>
          <w:szCs w:val="24"/>
        </w:rPr>
        <w:t>this</w:t>
      </w:r>
      <w:r w:rsidRPr="00F62BA4">
        <w:rPr>
          <w:rFonts w:ascii="Times New Roman" w:hAnsi="Times New Roman" w:cs="Times New Roman"/>
          <w:sz w:val="24"/>
          <w:szCs w:val="24"/>
        </w:rPr>
        <w:t xml:space="preserve"> </w:t>
      </w:r>
      <w:r w:rsidR="00206275" w:rsidRPr="00F62BA4">
        <w:rPr>
          <w:rFonts w:ascii="Times New Roman" w:hAnsi="Times New Roman" w:cs="Times New Roman"/>
          <w:sz w:val="24"/>
          <w:szCs w:val="24"/>
        </w:rPr>
        <w:t>was</w:t>
      </w:r>
      <w:r w:rsidRPr="00F62BA4">
        <w:rPr>
          <w:rFonts w:ascii="Times New Roman" w:hAnsi="Times New Roman" w:cs="Times New Roman"/>
          <w:sz w:val="24"/>
          <w:szCs w:val="24"/>
        </w:rPr>
        <w:t xml:space="preserve"> not</w:t>
      </w:r>
      <w:r w:rsidR="00206275" w:rsidRPr="00F62BA4">
        <w:rPr>
          <w:rFonts w:ascii="Times New Roman" w:hAnsi="Times New Roman" w:cs="Times New Roman"/>
          <w:sz w:val="24"/>
          <w:szCs w:val="24"/>
        </w:rPr>
        <w:t xml:space="preserve"> a popular election</w:t>
      </w:r>
      <w:r w:rsidRPr="00F62BA4">
        <w:rPr>
          <w:rFonts w:ascii="Times New Roman" w:hAnsi="Times New Roman" w:cs="Times New Roman"/>
          <w:sz w:val="24"/>
          <w:szCs w:val="24"/>
        </w:rPr>
        <w:t xml:space="preserve">; Sawyer was selected </w:t>
      </w:r>
      <w:r w:rsidR="00206275" w:rsidRPr="00F62BA4">
        <w:rPr>
          <w:rFonts w:ascii="Times New Roman" w:hAnsi="Times New Roman" w:cs="Times New Roman"/>
          <w:sz w:val="24"/>
          <w:szCs w:val="24"/>
        </w:rPr>
        <w:t xml:space="preserve">by a group of delegates at The Banjul Conference. While elections were held after the war’s close, little development of </w:t>
      </w:r>
      <w:r w:rsidR="005B1032">
        <w:rPr>
          <w:rFonts w:ascii="Times New Roman" w:hAnsi="Times New Roman" w:cs="Times New Roman"/>
          <w:sz w:val="24"/>
          <w:szCs w:val="24"/>
        </w:rPr>
        <w:t>consultative instruments</w:t>
      </w:r>
      <w:r w:rsidR="00206275" w:rsidRPr="00F62BA4">
        <w:rPr>
          <w:rFonts w:ascii="Times New Roman" w:hAnsi="Times New Roman" w:cs="Times New Roman"/>
          <w:sz w:val="24"/>
          <w:szCs w:val="24"/>
        </w:rPr>
        <w:t xml:space="preserve"> appear during the conflict.</w:t>
      </w:r>
    </w:p>
    <w:p w:rsidR="006E6F94" w:rsidRPr="00F62BA4" w:rsidRDefault="006E6F94" w:rsidP="00DE6C08">
      <w:pPr>
        <w:rPr>
          <w:rFonts w:ascii="Times New Roman" w:hAnsi="Times New Roman" w:cs="Times New Roman"/>
          <w:b/>
          <w:sz w:val="24"/>
          <w:szCs w:val="24"/>
        </w:rPr>
      </w:pPr>
      <w:r w:rsidRPr="00F62BA4">
        <w:rPr>
          <w:rFonts w:ascii="Times New Roman" w:hAnsi="Times New Roman" w:cs="Times New Roman"/>
          <w:b/>
          <w:sz w:val="24"/>
          <w:szCs w:val="24"/>
        </w:rPr>
        <w:t>Liberia (1994-1996)</w:t>
      </w:r>
    </w:p>
    <w:p w:rsidR="006E6F94" w:rsidRPr="00F62BA4" w:rsidRDefault="006E6F94"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286F3F" w:rsidRPr="00F62BA4">
        <w:rPr>
          <w:rFonts w:ascii="Times New Roman" w:hAnsi="Times New Roman" w:cs="Times New Roman"/>
          <w:sz w:val="24"/>
          <w:szCs w:val="24"/>
        </w:rPr>
        <w:t xml:space="preserve"> NPFL / ULIMO</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286F3F" w:rsidRPr="00F62BA4" w:rsidRDefault="00286F3F" w:rsidP="00DE6C08">
      <w:pPr>
        <w:rPr>
          <w:rFonts w:ascii="Times New Roman" w:hAnsi="Times New Roman" w:cs="Times New Roman"/>
          <w:sz w:val="24"/>
          <w:szCs w:val="24"/>
        </w:rPr>
      </w:pPr>
      <w:r w:rsidRPr="00F62BA4">
        <w:rPr>
          <w:rFonts w:ascii="Times New Roman" w:hAnsi="Times New Roman" w:cs="Times New Roman"/>
          <w:sz w:val="24"/>
          <w:szCs w:val="24"/>
        </w:rPr>
        <w:tab/>
      </w:r>
      <w:r w:rsidR="002C4E81" w:rsidRPr="00F62BA4">
        <w:rPr>
          <w:rFonts w:ascii="Times New Roman" w:hAnsi="Times New Roman" w:cs="Times New Roman"/>
          <w:sz w:val="24"/>
          <w:szCs w:val="24"/>
        </w:rPr>
        <w:t xml:space="preserve">Much that can be said about the Liberian civil war’s first chapter can be said about its second. Taylor’s NPFL did little to further the provision of policing, justice, or public goods from 1994 to 1996. This was especially detrimental as civil society actors were often unable or </w:t>
      </w:r>
      <w:r w:rsidR="002C4E81" w:rsidRPr="00F62BA4">
        <w:rPr>
          <w:rFonts w:ascii="Times New Roman" w:hAnsi="Times New Roman" w:cs="Times New Roman"/>
          <w:sz w:val="24"/>
          <w:szCs w:val="24"/>
        </w:rPr>
        <w:lastRenderedPageBreak/>
        <w:t>unwilling to fill the gap.</w:t>
      </w:r>
      <w:r w:rsidR="002C4E81" w:rsidRPr="00F62BA4">
        <w:rPr>
          <w:rStyle w:val="FootnoteReference"/>
          <w:rFonts w:ascii="Times New Roman" w:hAnsi="Times New Roman" w:cs="Times New Roman"/>
          <w:sz w:val="24"/>
          <w:szCs w:val="24"/>
        </w:rPr>
        <w:footnoteReference w:id="319"/>
      </w:r>
      <w:r w:rsidR="002C4E81" w:rsidRPr="00F62BA4">
        <w:rPr>
          <w:rFonts w:ascii="Times New Roman" w:hAnsi="Times New Roman" w:cs="Times New Roman"/>
          <w:sz w:val="24"/>
          <w:szCs w:val="24"/>
        </w:rPr>
        <w:t xml:space="preserve"> Liberia’s population, Emmanuel Dolo argues, had been conditioned to expect disappointing outcomes from political leaders. This was exacerbated by the fact that public service was viewed as a means of extracting rents rather than of providing effective administration.</w:t>
      </w:r>
    </w:p>
    <w:p w:rsidR="00A54ABE" w:rsidRPr="00F62BA4" w:rsidRDefault="00737AF0" w:rsidP="00DE6C08">
      <w:pPr>
        <w:rPr>
          <w:rFonts w:ascii="Times New Roman" w:hAnsi="Times New Roman" w:cs="Times New Roman"/>
          <w:sz w:val="24"/>
          <w:szCs w:val="24"/>
        </w:rPr>
      </w:pPr>
      <w:r w:rsidRPr="00F62BA4">
        <w:rPr>
          <w:rFonts w:ascii="Times New Roman" w:hAnsi="Times New Roman" w:cs="Times New Roman"/>
          <w:sz w:val="24"/>
          <w:szCs w:val="24"/>
        </w:rPr>
        <w:tab/>
        <w:t xml:space="preserve">While </w:t>
      </w:r>
      <w:r w:rsidR="0059308F" w:rsidRPr="00F62BA4">
        <w:rPr>
          <w:rFonts w:ascii="Times New Roman" w:hAnsi="Times New Roman" w:cs="Times New Roman"/>
          <w:sz w:val="24"/>
          <w:szCs w:val="24"/>
        </w:rPr>
        <w:t>the interim government remained in some form until the end of the conflict, its activity as a feedback mechanism did not manifest itself until the July, 1997 elections.</w:t>
      </w:r>
      <w:r w:rsidR="0059308F" w:rsidRPr="00F62BA4">
        <w:rPr>
          <w:rStyle w:val="FootnoteReference"/>
          <w:rFonts w:ascii="Times New Roman" w:hAnsi="Times New Roman" w:cs="Times New Roman"/>
          <w:sz w:val="24"/>
          <w:szCs w:val="24"/>
        </w:rPr>
        <w:footnoteReference w:id="320"/>
      </w:r>
      <w:r w:rsidR="0059308F" w:rsidRPr="00F62BA4">
        <w:rPr>
          <w:rFonts w:ascii="Times New Roman" w:hAnsi="Times New Roman" w:cs="Times New Roman"/>
          <w:sz w:val="24"/>
          <w:szCs w:val="24"/>
        </w:rPr>
        <w:t xml:space="preserve"> In spite of the apparent legitimacy of those elections,</w:t>
      </w:r>
      <w:r w:rsidR="0059308F" w:rsidRPr="00F62BA4">
        <w:rPr>
          <w:rStyle w:val="FootnoteReference"/>
          <w:rFonts w:ascii="Times New Roman" w:hAnsi="Times New Roman" w:cs="Times New Roman"/>
          <w:sz w:val="24"/>
          <w:szCs w:val="24"/>
        </w:rPr>
        <w:footnoteReference w:id="321"/>
      </w:r>
      <w:r w:rsidR="0059308F" w:rsidRPr="00F62BA4">
        <w:rPr>
          <w:rFonts w:ascii="Times New Roman" w:hAnsi="Times New Roman" w:cs="Times New Roman"/>
          <w:sz w:val="24"/>
          <w:szCs w:val="24"/>
        </w:rPr>
        <w:t xml:space="preserve"> governance outcomes</w:t>
      </w:r>
      <w:r w:rsidR="00FC4127" w:rsidRPr="00F62BA4">
        <w:rPr>
          <w:rFonts w:ascii="Times New Roman" w:hAnsi="Times New Roman" w:cs="Times New Roman"/>
          <w:sz w:val="24"/>
          <w:szCs w:val="24"/>
        </w:rPr>
        <w:t xml:space="preserve"> were uninspiring even after Taylor’s electoral victory, to say nothing of their status beforehand.</w:t>
      </w:r>
      <w:r w:rsidR="00FC4127" w:rsidRPr="00F62BA4">
        <w:rPr>
          <w:rStyle w:val="FootnoteReference"/>
          <w:rFonts w:ascii="Times New Roman" w:hAnsi="Times New Roman" w:cs="Times New Roman"/>
          <w:sz w:val="24"/>
          <w:szCs w:val="24"/>
        </w:rPr>
        <w:footnoteReference w:id="322"/>
      </w:r>
      <w:r w:rsidR="00FC4127" w:rsidRPr="00F62BA4">
        <w:rPr>
          <w:rFonts w:ascii="Times New Roman" w:hAnsi="Times New Roman" w:cs="Times New Roman"/>
          <w:sz w:val="24"/>
          <w:szCs w:val="24"/>
        </w:rPr>
        <w:t xml:space="preserve"> It appears that the statebuilding efforts that took place after this chapter’s close were working with very little native resources on the part of the rebels.</w:t>
      </w:r>
    </w:p>
    <w:p w:rsidR="006E6F94" w:rsidRPr="00F62BA4" w:rsidRDefault="006E6F94" w:rsidP="00DE6C08">
      <w:pPr>
        <w:rPr>
          <w:rFonts w:ascii="Times New Roman" w:hAnsi="Times New Roman" w:cs="Times New Roman"/>
          <w:b/>
          <w:sz w:val="24"/>
          <w:szCs w:val="24"/>
        </w:rPr>
      </w:pPr>
      <w:r w:rsidRPr="00F62BA4">
        <w:rPr>
          <w:rFonts w:ascii="Times New Roman" w:hAnsi="Times New Roman" w:cs="Times New Roman"/>
          <w:b/>
          <w:sz w:val="24"/>
          <w:szCs w:val="24"/>
        </w:rPr>
        <w:t>Liberia (1999-2003)</w:t>
      </w:r>
    </w:p>
    <w:p w:rsidR="006E6F94" w:rsidRPr="00F62BA4" w:rsidRDefault="006E6F94" w:rsidP="00DE6C08">
      <w:pPr>
        <w:rPr>
          <w:rFonts w:ascii="Times New Roman" w:hAnsi="Times New Roman" w:cs="Times New Roman"/>
          <w:sz w:val="24"/>
          <w:szCs w:val="24"/>
        </w:rPr>
      </w:pPr>
      <w:r w:rsidRPr="00F62BA4">
        <w:rPr>
          <w:rFonts w:ascii="Times New Roman" w:hAnsi="Times New Roman" w:cs="Times New Roman"/>
          <w:sz w:val="24"/>
          <w:szCs w:val="24"/>
        </w:rPr>
        <w:t>Rebels / Incumbents:</w:t>
      </w:r>
      <w:r w:rsidR="0095522C" w:rsidRPr="00F62BA4">
        <w:rPr>
          <w:rFonts w:ascii="Times New Roman" w:hAnsi="Times New Roman" w:cs="Times New Roman"/>
          <w:sz w:val="24"/>
          <w:szCs w:val="24"/>
        </w:rPr>
        <w:t xml:space="preserve"> Liberians United </w:t>
      </w:r>
      <w:r w:rsidR="006B33D8" w:rsidRPr="00F62BA4">
        <w:rPr>
          <w:rFonts w:ascii="Times New Roman" w:hAnsi="Times New Roman" w:cs="Times New Roman"/>
          <w:sz w:val="24"/>
          <w:szCs w:val="24"/>
        </w:rPr>
        <w:t>for Reconciliation and Democracy (LURD), Movement for Democracy in Liberia (MODEL) / Liberia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1</w:t>
      </w:r>
    </w:p>
    <w:p w:rsidR="006B33D8" w:rsidRPr="00F62BA4" w:rsidRDefault="006B33D8" w:rsidP="00DE6C08">
      <w:pPr>
        <w:rPr>
          <w:rFonts w:ascii="Times New Roman" w:hAnsi="Times New Roman" w:cs="Times New Roman"/>
          <w:sz w:val="24"/>
          <w:szCs w:val="24"/>
        </w:rPr>
      </w:pPr>
      <w:r w:rsidRPr="00F62BA4">
        <w:rPr>
          <w:rFonts w:ascii="Times New Roman" w:hAnsi="Times New Roman" w:cs="Times New Roman"/>
          <w:sz w:val="24"/>
          <w:szCs w:val="24"/>
        </w:rPr>
        <w:tab/>
        <w:t>Charles Taylor’s postwar peace was quite brief, as simmering discontent with his regime  (from both opponents and would-be clients)paired with his inability to establish a monopoly of force within the state meant recidivism was hardly surprising, albeit with Taylor playing the part of the incumbent in this chapter.</w:t>
      </w:r>
      <w:r w:rsidRPr="00F62BA4">
        <w:rPr>
          <w:rStyle w:val="FootnoteReference"/>
          <w:rFonts w:ascii="Times New Roman" w:hAnsi="Times New Roman" w:cs="Times New Roman"/>
          <w:sz w:val="24"/>
          <w:szCs w:val="24"/>
        </w:rPr>
        <w:footnoteReference w:id="323"/>
      </w:r>
      <w:r w:rsidRPr="00F62BA4">
        <w:rPr>
          <w:rFonts w:ascii="Times New Roman" w:hAnsi="Times New Roman" w:cs="Times New Roman"/>
          <w:sz w:val="24"/>
          <w:szCs w:val="24"/>
        </w:rPr>
        <w:t xml:space="preserve"> This combined with Taylor’s difficulties securing revenue meant that his defeat should also come as little surprise.</w:t>
      </w:r>
      <w:r w:rsidR="00875F09" w:rsidRPr="00F62BA4">
        <w:rPr>
          <w:rStyle w:val="FootnoteReference"/>
          <w:rFonts w:ascii="Times New Roman" w:hAnsi="Times New Roman" w:cs="Times New Roman"/>
          <w:sz w:val="24"/>
          <w:szCs w:val="24"/>
        </w:rPr>
        <w:footnoteReference w:id="324"/>
      </w:r>
      <w:r w:rsidRPr="00F62BA4">
        <w:rPr>
          <w:rFonts w:ascii="Times New Roman" w:hAnsi="Times New Roman" w:cs="Times New Roman"/>
          <w:sz w:val="24"/>
          <w:szCs w:val="24"/>
        </w:rPr>
        <w:t xml:space="preserve"> </w:t>
      </w:r>
      <w:r w:rsidR="00875F09" w:rsidRPr="00F62BA4">
        <w:rPr>
          <w:rFonts w:ascii="Times New Roman" w:hAnsi="Times New Roman" w:cs="Times New Roman"/>
          <w:sz w:val="24"/>
          <w:szCs w:val="24"/>
        </w:rPr>
        <w:t>What is somewhat surprising was that a) Taylor had the opportunity to resign and flee into exile without much protest from the victorious rebels and that b) he actually took it.</w:t>
      </w:r>
    </w:p>
    <w:p w:rsidR="00875F09" w:rsidRPr="00F62BA4" w:rsidRDefault="00875F09" w:rsidP="00F77AB4">
      <w:pPr>
        <w:rPr>
          <w:rFonts w:ascii="Times New Roman" w:hAnsi="Times New Roman" w:cs="Times New Roman"/>
          <w:sz w:val="24"/>
          <w:szCs w:val="24"/>
        </w:rPr>
      </w:pPr>
      <w:r w:rsidRPr="00F62BA4">
        <w:rPr>
          <w:rFonts w:ascii="Times New Roman" w:hAnsi="Times New Roman" w:cs="Times New Roman"/>
          <w:sz w:val="24"/>
          <w:szCs w:val="24"/>
        </w:rPr>
        <w:tab/>
      </w:r>
      <w:r w:rsidR="00666A71" w:rsidRPr="00F62BA4">
        <w:rPr>
          <w:rFonts w:ascii="Times New Roman" w:hAnsi="Times New Roman" w:cs="Times New Roman"/>
          <w:sz w:val="24"/>
          <w:szCs w:val="24"/>
        </w:rPr>
        <w:t>The LURD rebels (many of whom were late of ULIMO) took pains to make themselves seem legitimate, both to the outside world and to their fellow Liberians.</w:t>
      </w:r>
      <w:r w:rsidR="00666A71" w:rsidRPr="00F62BA4">
        <w:rPr>
          <w:rStyle w:val="FootnoteReference"/>
          <w:rFonts w:ascii="Times New Roman" w:hAnsi="Times New Roman" w:cs="Times New Roman"/>
          <w:sz w:val="24"/>
          <w:szCs w:val="24"/>
        </w:rPr>
        <w:footnoteReference w:id="325"/>
      </w:r>
      <w:r w:rsidR="00666A71" w:rsidRPr="00F62BA4">
        <w:rPr>
          <w:rFonts w:ascii="Times New Roman" w:hAnsi="Times New Roman" w:cs="Times New Roman"/>
          <w:sz w:val="24"/>
          <w:szCs w:val="24"/>
        </w:rPr>
        <w:t xml:space="preserve"> In addition to rigorous discipline within their ranks (especially with regards to the treatment of civilians), LURD established a separate and (to a certain extent) effective civil administrative apparatus. In particular, they were concerned with providing domestic security and with refilling civil administrative positions within controlled territories (the new occupants of these offices often came from the populations themselves). </w:t>
      </w:r>
      <w:r w:rsidR="00F77AB4" w:rsidRPr="00F62BA4">
        <w:rPr>
          <w:rFonts w:ascii="Times New Roman" w:hAnsi="Times New Roman" w:cs="Times New Roman"/>
          <w:sz w:val="24"/>
          <w:szCs w:val="24"/>
        </w:rPr>
        <w:t>Although the particulars of the larger structure of this administration are difficult to determine, there is a degree of local representation in the group’s political wing, as well as ministries for the provision of public goods.</w:t>
      </w:r>
      <w:r w:rsidR="00F77AB4" w:rsidRPr="00F62BA4">
        <w:rPr>
          <w:rStyle w:val="FootnoteReference"/>
          <w:rFonts w:ascii="Times New Roman" w:hAnsi="Times New Roman" w:cs="Times New Roman"/>
          <w:sz w:val="24"/>
          <w:szCs w:val="24"/>
        </w:rPr>
        <w:footnoteReference w:id="326"/>
      </w:r>
      <w:r w:rsidR="00F77AB4" w:rsidRPr="00F62BA4">
        <w:rPr>
          <w:rFonts w:ascii="Times New Roman" w:hAnsi="Times New Roman" w:cs="Times New Roman"/>
          <w:sz w:val="24"/>
          <w:szCs w:val="24"/>
        </w:rPr>
        <w:t xml:space="preserve"> </w:t>
      </w:r>
      <w:r w:rsidR="00666A71" w:rsidRPr="00F62BA4">
        <w:rPr>
          <w:rFonts w:ascii="Times New Roman" w:hAnsi="Times New Roman" w:cs="Times New Roman"/>
          <w:sz w:val="24"/>
          <w:szCs w:val="24"/>
        </w:rPr>
        <w:t xml:space="preserve">Although discipline </w:t>
      </w:r>
      <w:r w:rsidR="00666A71" w:rsidRPr="00F62BA4">
        <w:rPr>
          <w:rFonts w:ascii="Times New Roman" w:hAnsi="Times New Roman" w:cs="Times New Roman"/>
          <w:sz w:val="24"/>
          <w:szCs w:val="24"/>
        </w:rPr>
        <w:lastRenderedPageBreak/>
        <w:t xml:space="preserve">within their ranks was extremely inconsistent in spite of its emphasis on the part of the commanders, this was </w:t>
      </w:r>
      <w:r w:rsidR="005D0DFE" w:rsidRPr="00F62BA4">
        <w:rPr>
          <w:rFonts w:ascii="Times New Roman" w:hAnsi="Times New Roman" w:cs="Times New Roman"/>
          <w:sz w:val="24"/>
          <w:szCs w:val="24"/>
        </w:rPr>
        <w:t>diminished</w:t>
      </w:r>
      <w:r w:rsidR="00666A71" w:rsidRPr="00F62BA4">
        <w:rPr>
          <w:rFonts w:ascii="Times New Roman" w:hAnsi="Times New Roman" w:cs="Times New Roman"/>
          <w:sz w:val="24"/>
          <w:szCs w:val="24"/>
        </w:rPr>
        <w:t xml:space="preserve"> by the impressing of refugees into a fact-finding mission to exam</w:t>
      </w:r>
      <w:r w:rsidR="003B53F9" w:rsidRPr="00F62BA4">
        <w:rPr>
          <w:rFonts w:ascii="Times New Roman" w:hAnsi="Times New Roman" w:cs="Times New Roman"/>
          <w:sz w:val="24"/>
          <w:szCs w:val="24"/>
        </w:rPr>
        <w:t>ine civilian-rebel interactions.</w:t>
      </w:r>
      <w:r w:rsidR="005D0DFE" w:rsidRPr="00F62BA4">
        <w:rPr>
          <w:rFonts w:ascii="Times New Roman" w:hAnsi="Times New Roman" w:cs="Times New Roman"/>
          <w:sz w:val="24"/>
          <w:szCs w:val="24"/>
        </w:rPr>
        <w:t xml:space="preserve"> Moreover, as a part of its effort to increase discipline, the group established “forums for hearing local grievances” against rebel fighters.</w:t>
      </w:r>
      <w:r w:rsidR="005D0DFE" w:rsidRPr="00F62BA4">
        <w:rPr>
          <w:rStyle w:val="FootnoteReference"/>
          <w:rFonts w:ascii="Times New Roman" w:hAnsi="Times New Roman" w:cs="Times New Roman"/>
          <w:sz w:val="24"/>
          <w:szCs w:val="24"/>
        </w:rPr>
        <w:footnoteReference w:id="327"/>
      </w:r>
      <w:r w:rsidR="003B53F9" w:rsidRPr="00F62BA4">
        <w:rPr>
          <w:rFonts w:ascii="Times New Roman" w:hAnsi="Times New Roman" w:cs="Times New Roman"/>
          <w:sz w:val="24"/>
          <w:szCs w:val="24"/>
        </w:rPr>
        <w:t xml:space="preserve"> While LURD’s legitimacy-seeking behavior bore some fruit</w:t>
      </w:r>
      <w:r w:rsidR="006E394B" w:rsidRPr="00F62BA4">
        <w:rPr>
          <w:rFonts w:ascii="Times New Roman" w:hAnsi="Times New Roman" w:cs="Times New Roman"/>
          <w:sz w:val="24"/>
          <w:szCs w:val="24"/>
        </w:rPr>
        <w:t>, they were hardly model governors and by no means free of deliberate attacks on civilian populations.</w:t>
      </w:r>
    </w:p>
    <w:p w:rsidR="006E394B" w:rsidRPr="00F62BA4" w:rsidRDefault="006E394B" w:rsidP="00DE6C08">
      <w:pPr>
        <w:rPr>
          <w:rFonts w:ascii="Times New Roman" w:hAnsi="Times New Roman" w:cs="Times New Roman"/>
          <w:sz w:val="24"/>
          <w:szCs w:val="24"/>
        </w:rPr>
      </w:pPr>
      <w:r w:rsidRPr="00F62BA4">
        <w:rPr>
          <w:rFonts w:ascii="Times New Roman" w:hAnsi="Times New Roman" w:cs="Times New Roman"/>
          <w:sz w:val="24"/>
          <w:szCs w:val="24"/>
        </w:rPr>
        <w:tab/>
        <w:t>Their targeted attacks on civilian areas are especially problematic from a governance standpoint. In addition to effectively emptying Ganta—once a regional hub—of its civilian population, the town’s education and healthcare infrastructure had been obliterated by the conflict, with little (if anything) appearing in its place.</w:t>
      </w:r>
      <w:r w:rsidRPr="00F62BA4">
        <w:rPr>
          <w:rStyle w:val="FootnoteReference"/>
          <w:rFonts w:ascii="Times New Roman" w:hAnsi="Times New Roman" w:cs="Times New Roman"/>
          <w:sz w:val="24"/>
          <w:szCs w:val="24"/>
        </w:rPr>
        <w:footnoteReference w:id="328"/>
      </w:r>
      <w:r w:rsidR="00017E61" w:rsidRPr="00F62BA4">
        <w:rPr>
          <w:rFonts w:ascii="Times New Roman" w:hAnsi="Times New Roman" w:cs="Times New Roman"/>
          <w:sz w:val="24"/>
          <w:szCs w:val="24"/>
        </w:rPr>
        <w:t xml:space="preserve"> </w:t>
      </w:r>
      <w:r w:rsidR="005D0DFE" w:rsidRPr="00F62BA4">
        <w:rPr>
          <w:rFonts w:ascii="Times New Roman" w:hAnsi="Times New Roman" w:cs="Times New Roman"/>
          <w:sz w:val="24"/>
          <w:szCs w:val="24"/>
        </w:rPr>
        <w:t>Additionally, in spite of attempts at reining in disorderly soldiers, LURD’s fighters regularly preyed upon the populations in their controlled territories.</w:t>
      </w:r>
      <w:r w:rsidR="005D0DFE" w:rsidRPr="00F62BA4">
        <w:rPr>
          <w:rStyle w:val="FootnoteReference"/>
          <w:rFonts w:ascii="Times New Roman" w:hAnsi="Times New Roman" w:cs="Times New Roman"/>
          <w:sz w:val="24"/>
          <w:szCs w:val="24"/>
        </w:rPr>
        <w:footnoteReference w:id="329"/>
      </w:r>
      <w:r w:rsidR="00F77AB4" w:rsidRPr="00F62BA4">
        <w:rPr>
          <w:rFonts w:ascii="Times New Roman" w:hAnsi="Times New Roman" w:cs="Times New Roman"/>
          <w:sz w:val="24"/>
          <w:szCs w:val="24"/>
        </w:rPr>
        <w:t xml:space="preserve"> Moreover, LURD units would routinely execute prisoners of war who do not show remorse and some reports point to particular brutality in the treatment of those POW’s who did not wish to join the cause.</w:t>
      </w:r>
      <w:r w:rsidR="00F77AB4" w:rsidRPr="00F62BA4">
        <w:rPr>
          <w:rStyle w:val="FootnoteReference"/>
          <w:rFonts w:ascii="Times New Roman" w:hAnsi="Times New Roman" w:cs="Times New Roman"/>
          <w:sz w:val="24"/>
          <w:szCs w:val="24"/>
        </w:rPr>
        <w:footnoteReference w:id="330"/>
      </w:r>
    </w:p>
    <w:p w:rsidR="003B53F9" w:rsidRPr="00F62BA4" w:rsidRDefault="003B53F9" w:rsidP="00DE6C08">
      <w:pPr>
        <w:rPr>
          <w:rFonts w:ascii="Times New Roman" w:hAnsi="Times New Roman" w:cs="Times New Roman"/>
          <w:b/>
          <w:sz w:val="24"/>
          <w:szCs w:val="24"/>
        </w:rPr>
      </w:pPr>
      <w:r w:rsidRPr="00F62BA4">
        <w:rPr>
          <w:rFonts w:ascii="Times New Roman" w:hAnsi="Times New Roman" w:cs="Times New Roman"/>
          <w:sz w:val="24"/>
          <w:szCs w:val="24"/>
        </w:rPr>
        <w:tab/>
        <w:t>MODEL was less successful, although their ambitions were similar</w:t>
      </w:r>
      <w:r w:rsidR="000A4603" w:rsidRPr="00F62BA4">
        <w:rPr>
          <w:rFonts w:ascii="Times New Roman" w:hAnsi="Times New Roman" w:cs="Times New Roman"/>
          <w:sz w:val="24"/>
          <w:szCs w:val="24"/>
        </w:rPr>
        <w:t xml:space="preserve"> in kind, if not magnitude,</w:t>
      </w:r>
      <w:r w:rsidRPr="00F62BA4">
        <w:rPr>
          <w:rFonts w:ascii="Times New Roman" w:hAnsi="Times New Roman" w:cs="Times New Roman"/>
          <w:sz w:val="24"/>
          <w:szCs w:val="24"/>
        </w:rPr>
        <w:t xml:space="preserve"> to those of LURD.</w:t>
      </w:r>
      <w:r w:rsidRPr="00F62BA4">
        <w:rPr>
          <w:rStyle w:val="FootnoteReference"/>
          <w:rFonts w:ascii="Times New Roman" w:hAnsi="Times New Roman" w:cs="Times New Roman"/>
          <w:sz w:val="24"/>
          <w:szCs w:val="24"/>
        </w:rPr>
        <w:footnoteReference w:id="331"/>
      </w:r>
      <w:r w:rsidRPr="00F62BA4">
        <w:rPr>
          <w:rFonts w:ascii="Times New Roman" w:hAnsi="Times New Roman" w:cs="Times New Roman"/>
          <w:sz w:val="24"/>
          <w:szCs w:val="24"/>
        </w:rPr>
        <w:t xml:space="preserve"> </w:t>
      </w:r>
      <w:r w:rsidR="000A4603" w:rsidRPr="00F62BA4">
        <w:rPr>
          <w:rFonts w:ascii="Times New Roman" w:hAnsi="Times New Roman" w:cs="Times New Roman"/>
          <w:sz w:val="24"/>
          <w:szCs w:val="24"/>
        </w:rPr>
        <w:t>MODEL’s commanders took pains to instill some degree of discipline among their numbers (albeit with limited success). Although there was a much ballyhooed instance of MODEL soldiers repairing damaged streetlights after taking a town, the extent of MODEL’s governance could be charitably described as “benign neglect.”</w:t>
      </w:r>
    </w:p>
    <w:p w:rsidR="00C96918" w:rsidRPr="00F62BA4" w:rsidRDefault="00C96918" w:rsidP="006E6F94">
      <w:pPr>
        <w:rPr>
          <w:rFonts w:ascii="Times New Roman" w:hAnsi="Times New Roman" w:cs="Times New Roman"/>
          <w:b/>
          <w:sz w:val="24"/>
          <w:szCs w:val="24"/>
        </w:rPr>
      </w:pPr>
      <w:r w:rsidRPr="00F62BA4">
        <w:rPr>
          <w:rFonts w:ascii="Times New Roman" w:hAnsi="Times New Roman" w:cs="Times New Roman"/>
          <w:b/>
          <w:sz w:val="24"/>
          <w:szCs w:val="24"/>
        </w:rPr>
        <w:t>Mali (1990-1995)</w:t>
      </w:r>
    </w:p>
    <w:p w:rsidR="00C96918" w:rsidRPr="00F62BA4" w:rsidRDefault="00DA234D" w:rsidP="006E6F94">
      <w:pPr>
        <w:rPr>
          <w:rFonts w:ascii="Times New Roman" w:hAnsi="Times New Roman" w:cs="Times New Roman"/>
          <w:sz w:val="24"/>
          <w:szCs w:val="24"/>
        </w:rPr>
      </w:pPr>
      <w:r w:rsidRPr="00F62BA4">
        <w:rPr>
          <w:rFonts w:ascii="Times New Roman" w:hAnsi="Times New Roman" w:cs="Times New Roman"/>
          <w:sz w:val="24"/>
          <w:szCs w:val="24"/>
        </w:rPr>
        <w:t>Rebels / Incumbents:</w:t>
      </w:r>
      <w:r w:rsidR="00D20B99" w:rsidRPr="00F62BA4">
        <w:rPr>
          <w:rFonts w:ascii="Times New Roman" w:hAnsi="Times New Roman" w:cs="Times New Roman"/>
          <w:sz w:val="24"/>
          <w:szCs w:val="24"/>
        </w:rPr>
        <w:t xml:space="preserve"> Several. Some include</w:t>
      </w:r>
      <w:r w:rsidRPr="00F62BA4">
        <w:rPr>
          <w:rFonts w:ascii="Times New Roman" w:hAnsi="Times New Roman" w:cs="Times New Roman"/>
          <w:sz w:val="24"/>
          <w:szCs w:val="24"/>
        </w:rPr>
        <w:t xml:space="preserve"> MPA (Azawad People's Movement) FIAA (Islamic Arab Front)</w:t>
      </w:r>
      <w:r w:rsidR="00D20B99" w:rsidRPr="00F62BA4">
        <w:rPr>
          <w:rFonts w:ascii="Times New Roman" w:hAnsi="Times New Roman" w:cs="Times New Roman"/>
          <w:sz w:val="24"/>
          <w:szCs w:val="24"/>
        </w:rPr>
        <w:t>, MPLA (Popular Movement for the Liberation of Azawad), FPLA</w:t>
      </w:r>
      <w:r w:rsidR="00D20B99" w:rsidRPr="00F62BA4">
        <w:rPr>
          <w:sz w:val="24"/>
          <w:szCs w:val="24"/>
        </w:rPr>
        <w:t xml:space="preserve"> </w:t>
      </w:r>
      <w:r w:rsidR="00D20B99" w:rsidRPr="00F62BA4">
        <w:rPr>
          <w:rFonts w:ascii="Times New Roman" w:hAnsi="Times New Roman" w:cs="Times New Roman"/>
          <w:sz w:val="24"/>
          <w:szCs w:val="24"/>
        </w:rPr>
        <w:t>(Popular Liberation Front of Azawad (FPLA), which became ARLA (Revolutionary Liberation Army of Azawad) a few months later</w:t>
      </w:r>
      <w:r w:rsidR="00C96918" w:rsidRPr="00F62BA4">
        <w:rPr>
          <w:rFonts w:ascii="Times New Roman" w:hAnsi="Times New Roman" w:cs="Times New Roman"/>
          <w:sz w:val="24"/>
          <w:szCs w:val="24"/>
        </w:rPr>
        <w:t xml:space="preserve"> / Mali</w:t>
      </w:r>
    </w:p>
    <w:p w:rsidR="00D9746E" w:rsidRPr="00F62BA4" w:rsidRDefault="005B1032" w:rsidP="00D9746E">
      <w:pPr>
        <w:rPr>
          <w:rFonts w:ascii="Times New Roman" w:hAnsi="Times New Roman" w:cs="Times New Roman"/>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D20B99" w:rsidRPr="00F62BA4" w:rsidRDefault="00D20B99" w:rsidP="006E6F94">
      <w:pPr>
        <w:rPr>
          <w:rFonts w:ascii="Times New Roman" w:hAnsi="Times New Roman" w:cs="Times New Roman"/>
          <w:sz w:val="24"/>
          <w:szCs w:val="24"/>
        </w:rPr>
      </w:pPr>
      <w:r w:rsidRPr="00F62BA4">
        <w:rPr>
          <w:rFonts w:ascii="Times New Roman" w:hAnsi="Times New Roman" w:cs="Times New Roman"/>
          <w:sz w:val="24"/>
          <w:szCs w:val="24"/>
        </w:rPr>
        <w:tab/>
      </w:r>
      <w:r w:rsidR="00A100A1" w:rsidRPr="00F62BA4">
        <w:rPr>
          <w:rFonts w:ascii="Times New Roman" w:hAnsi="Times New Roman" w:cs="Times New Roman"/>
          <w:sz w:val="24"/>
          <w:szCs w:val="24"/>
        </w:rPr>
        <w:t>Mali’s civil war technically dragged on for five years, but the actual incidence of conflict was far more sporadic than other conflicts of similar length.</w:t>
      </w:r>
      <w:r w:rsidR="00A100A1" w:rsidRPr="00F62BA4">
        <w:rPr>
          <w:rStyle w:val="FootnoteReference"/>
          <w:rFonts w:ascii="Times New Roman" w:hAnsi="Times New Roman" w:cs="Times New Roman"/>
          <w:sz w:val="24"/>
          <w:szCs w:val="24"/>
        </w:rPr>
        <w:footnoteReference w:id="332"/>
      </w:r>
      <w:r w:rsidR="00214613" w:rsidRPr="00F62BA4">
        <w:rPr>
          <w:rFonts w:ascii="Times New Roman" w:hAnsi="Times New Roman" w:cs="Times New Roman"/>
          <w:sz w:val="24"/>
          <w:szCs w:val="24"/>
        </w:rPr>
        <w:t xml:space="preserve"> There was little cohesion among the various Tuareg rebel groups. Dissolution, absorption, and reformation was common. Indeed, one of the primary reasons the conflict dragged on for as long as it did was the fact that Mali’s </w:t>
      </w:r>
      <w:r w:rsidR="00214613" w:rsidRPr="00F62BA4">
        <w:rPr>
          <w:rFonts w:ascii="Times New Roman" w:hAnsi="Times New Roman" w:cs="Times New Roman"/>
          <w:sz w:val="24"/>
          <w:szCs w:val="24"/>
        </w:rPr>
        <w:lastRenderedPageBreak/>
        <w:t>army did such a poor job discriminating between rebel and civilian, leading many of the latter category to support the former.</w:t>
      </w:r>
      <w:r w:rsidR="00214613" w:rsidRPr="00F62BA4">
        <w:rPr>
          <w:rStyle w:val="FootnoteReference"/>
          <w:rFonts w:ascii="Times New Roman" w:hAnsi="Times New Roman" w:cs="Times New Roman"/>
          <w:sz w:val="24"/>
          <w:szCs w:val="24"/>
        </w:rPr>
        <w:footnoteReference w:id="333"/>
      </w:r>
    </w:p>
    <w:p w:rsidR="00A45E5D" w:rsidRPr="00F62BA4" w:rsidRDefault="00A45E5D" w:rsidP="006E6F94">
      <w:pPr>
        <w:rPr>
          <w:rFonts w:ascii="Times New Roman" w:hAnsi="Times New Roman" w:cs="Times New Roman"/>
          <w:sz w:val="24"/>
          <w:szCs w:val="24"/>
        </w:rPr>
      </w:pPr>
      <w:r w:rsidRPr="00F62BA4">
        <w:rPr>
          <w:rFonts w:ascii="Times New Roman" w:hAnsi="Times New Roman" w:cs="Times New Roman"/>
          <w:sz w:val="24"/>
          <w:szCs w:val="24"/>
        </w:rPr>
        <w:tab/>
        <w:t xml:space="preserve">The chaos among the rebel groups was not conducive to the production of the goods of governance. One of the Tuareg rebels’ raisons de guerre was a lack of access to services—particularly health and education—and this was not changed by the end of the conflict. Moreover, while the Malian government has held elections (including one during the conflict) and </w:t>
      </w:r>
      <w:r w:rsidR="007A203F" w:rsidRPr="00F62BA4">
        <w:rPr>
          <w:rFonts w:ascii="Times New Roman" w:hAnsi="Times New Roman" w:cs="Times New Roman"/>
          <w:sz w:val="24"/>
          <w:szCs w:val="24"/>
        </w:rPr>
        <w:t>incorporated Tuareg into the armed forces and police,</w:t>
      </w:r>
      <w:r w:rsidR="007A203F" w:rsidRPr="00F62BA4">
        <w:rPr>
          <w:rStyle w:val="FootnoteReference"/>
          <w:rFonts w:ascii="Times New Roman" w:hAnsi="Times New Roman" w:cs="Times New Roman"/>
          <w:sz w:val="24"/>
          <w:szCs w:val="24"/>
        </w:rPr>
        <w:footnoteReference w:id="334"/>
      </w:r>
      <w:r w:rsidR="007A203F" w:rsidRPr="00F62BA4">
        <w:rPr>
          <w:rFonts w:ascii="Times New Roman" w:hAnsi="Times New Roman" w:cs="Times New Roman"/>
          <w:sz w:val="24"/>
          <w:szCs w:val="24"/>
        </w:rPr>
        <w:t xml:space="preserve"> there is little evidence of the rebels providing these things for themselves during the conflict.</w:t>
      </w:r>
      <w:r w:rsidR="007A203F" w:rsidRPr="00F62BA4">
        <w:rPr>
          <w:rStyle w:val="FootnoteReference"/>
          <w:rFonts w:ascii="Times New Roman" w:hAnsi="Times New Roman" w:cs="Times New Roman"/>
          <w:sz w:val="24"/>
          <w:szCs w:val="24"/>
        </w:rPr>
        <w:footnoteReference w:id="335"/>
      </w:r>
      <w:r w:rsidR="007A203F" w:rsidRPr="00F62BA4">
        <w:rPr>
          <w:rFonts w:ascii="Times New Roman" w:hAnsi="Times New Roman" w:cs="Times New Roman"/>
          <w:sz w:val="24"/>
          <w:szCs w:val="24"/>
        </w:rPr>
        <w:t xml:space="preserve"> </w:t>
      </w:r>
    </w:p>
    <w:p w:rsidR="00844FFB" w:rsidRPr="00F62BA4" w:rsidRDefault="00844FFB" w:rsidP="006E6F94">
      <w:pPr>
        <w:rPr>
          <w:rFonts w:ascii="Times New Roman" w:hAnsi="Times New Roman" w:cs="Times New Roman"/>
          <w:b/>
          <w:sz w:val="24"/>
          <w:szCs w:val="24"/>
        </w:rPr>
      </w:pPr>
      <w:r w:rsidRPr="00F62BA4">
        <w:rPr>
          <w:rFonts w:ascii="Times New Roman" w:hAnsi="Times New Roman" w:cs="Times New Roman"/>
          <w:b/>
          <w:sz w:val="24"/>
          <w:szCs w:val="24"/>
        </w:rPr>
        <w:t>Moldova (1991-1992)</w:t>
      </w:r>
    </w:p>
    <w:p w:rsidR="00844FFB" w:rsidRPr="00F62BA4" w:rsidRDefault="00844FFB" w:rsidP="006E6F94">
      <w:pPr>
        <w:rPr>
          <w:rFonts w:ascii="Times New Roman" w:hAnsi="Times New Roman" w:cs="Times New Roman"/>
          <w:sz w:val="24"/>
          <w:szCs w:val="24"/>
        </w:rPr>
      </w:pPr>
      <w:r w:rsidRPr="00F62BA4">
        <w:rPr>
          <w:rFonts w:ascii="Times New Roman" w:hAnsi="Times New Roman" w:cs="Times New Roman"/>
          <w:sz w:val="24"/>
          <w:szCs w:val="24"/>
        </w:rPr>
        <w:t>Rebels / Incumbents: Transnistra Separatists / Moldova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0D0BB5" w:rsidRPr="00F62BA4" w:rsidRDefault="00844FFB" w:rsidP="006E6F94">
      <w:pPr>
        <w:rPr>
          <w:rFonts w:ascii="Times New Roman" w:hAnsi="Times New Roman" w:cs="Times New Roman"/>
          <w:sz w:val="24"/>
          <w:szCs w:val="24"/>
        </w:rPr>
      </w:pPr>
      <w:r w:rsidRPr="00F62BA4">
        <w:rPr>
          <w:rFonts w:ascii="Times New Roman" w:hAnsi="Times New Roman" w:cs="Times New Roman"/>
          <w:sz w:val="24"/>
          <w:szCs w:val="24"/>
        </w:rPr>
        <w:tab/>
        <w:t>The civil war in Moldova pitted newly independent Moldova against its secessionist, ostensibly pro-Russian region to the east of the Dniester River.</w:t>
      </w:r>
      <w:r w:rsidRPr="00F62BA4">
        <w:rPr>
          <w:rStyle w:val="FootnoteReference"/>
          <w:rFonts w:ascii="Times New Roman" w:hAnsi="Times New Roman" w:cs="Times New Roman"/>
          <w:sz w:val="24"/>
          <w:szCs w:val="24"/>
        </w:rPr>
        <w:footnoteReference w:id="336"/>
      </w:r>
      <w:r w:rsidRPr="00F62BA4">
        <w:rPr>
          <w:rFonts w:ascii="Times New Roman" w:hAnsi="Times New Roman" w:cs="Times New Roman"/>
          <w:sz w:val="24"/>
          <w:szCs w:val="24"/>
        </w:rPr>
        <w:t xml:space="preserve"> </w:t>
      </w:r>
      <w:r w:rsidR="001D0BC5" w:rsidRPr="00F62BA4">
        <w:rPr>
          <w:rFonts w:ascii="Times New Roman" w:hAnsi="Times New Roman" w:cs="Times New Roman"/>
          <w:sz w:val="24"/>
          <w:szCs w:val="24"/>
        </w:rPr>
        <w:t>Although the war began</w:t>
      </w:r>
      <w:r w:rsidR="000D0BB5" w:rsidRPr="00F62BA4">
        <w:rPr>
          <w:rFonts w:ascii="Times New Roman" w:hAnsi="Times New Roman" w:cs="Times New Roman"/>
          <w:sz w:val="24"/>
          <w:szCs w:val="24"/>
        </w:rPr>
        <w:t xml:space="preserve"> with a Transnistran referendum result which appears to support independence, this may not necessarily be the case. First, the referendum calls for independence under the auspices of the Soviet</w:t>
      </w:r>
      <w:r w:rsidR="001D0BC5" w:rsidRPr="00F62BA4">
        <w:rPr>
          <w:rFonts w:ascii="Times New Roman" w:hAnsi="Times New Roman" w:cs="Times New Roman"/>
          <w:sz w:val="24"/>
          <w:szCs w:val="24"/>
        </w:rPr>
        <w:t xml:space="preserve"> </w:t>
      </w:r>
      <w:r w:rsidR="000D0BB5" w:rsidRPr="00F62BA4">
        <w:rPr>
          <w:rFonts w:ascii="Times New Roman" w:hAnsi="Times New Roman" w:cs="Times New Roman"/>
          <w:sz w:val="24"/>
          <w:szCs w:val="24"/>
        </w:rPr>
        <w:t>Union—something of a contradiction in terms. Second, the referendum was conducted under less than free and fair circumstances. Igor Smirnov’s supporters intimidated and killed critics of independence in the region and portrayed non-independence as tantamount to annexation by Romania.</w:t>
      </w:r>
      <w:r w:rsidR="000D0BB5" w:rsidRPr="00F62BA4">
        <w:rPr>
          <w:rStyle w:val="FootnoteReference"/>
          <w:rFonts w:ascii="Times New Roman" w:hAnsi="Times New Roman" w:cs="Times New Roman"/>
          <w:sz w:val="24"/>
          <w:szCs w:val="24"/>
        </w:rPr>
        <w:footnoteReference w:id="337"/>
      </w:r>
      <w:r w:rsidR="00C90B91" w:rsidRPr="00F62BA4">
        <w:rPr>
          <w:rFonts w:ascii="Times New Roman" w:hAnsi="Times New Roman" w:cs="Times New Roman"/>
          <w:sz w:val="24"/>
          <w:szCs w:val="24"/>
        </w:rPr>
        <w:t xml:space="preserve"> Additionally, much of the parallel state’s functions’ development took place after the war had come to a close.</w:t>
      </w:r>
      <w:r w:rsidR="00C90B91" w:rsidRPr="00F62BA4">
        <w:rPr>
          <w:rStyle w:val="FootnoteReference"/>
          <w:rFonts w:ascii="Times New Roman" w:hAnsi="Times New Roman" w:cs="Times New Roman"/>
          <w:sz w:val="24"/>
          <w:szCs w:val="24"/>
        </w:rPr>
        <w:footnoteReference w:id="338"/>
      </w:r>
    </w:p>
    <w:p w:rsidR="001D0BC5" w:rsidRPr="00F62BA4" w:rsidRDefault="001D0BC5" w:rsidP="006E6F94">
      <w:pPr>
        <w:rPr>
          <w:rFonts w:ascii="Times New Roman" w:hAnsi="Times New Roman" w:cs="Times New Roman"/>
          <w:sz w:val="24"/>
          <w:szCs w:val="24"/>
        </w:rPr>
      </w:pPr>
      <w:r w:rsidRPr="00F62BA4">
        <w:rPr>
          <w:rFonts w:ascii="Times New Roman" w:hAnsi="Times New Roman" w:cs="Times New Roman"/>
          <w:sz w:val="24"/>
          <w:szCs w:val="24"/>
        </w:rPr>
        <w:tab/>
      </w:r>
      <w:r w:rsidR="00CE77A7" w:rsidRPr="00F62BA4">
        <w:rPr>
          <w:rFonts w:ascii="Times New Roman" w:hAnsi="Times New Roman" w:cs="Times New Roman"/>
          <w:sz w:val="24"/>
          <w:szCs w:val="24"/>
        </w:rPr>
        <w:t>Instead, after securing an ostensible mandate to rule the would-be state, Igor Smirnov and his supporters threw their efforts into recruiting support for the war effort. This came in the form of volunteers from Transnistra, naturally, but also included calls for support from Russia.</w:t>
      </w:r>
      <w:r w:rsidR="00CE77A7" w:rsidRPr="00F62BA4">
        <w:rPr>
          <w:rStyle w:val="FootnoteReference"/>
          <w:rFonts w:ascii="Times New Roman" w:hAnsi="Times New Roman" w:cs="Times New Roman"/>
          <w:sz w:val="24"/>
          <w:szCs w:val="24"/>
        </w:rPr>
        <w:footnoteReference w:id="339"/>
      </w:r>
      <w:r w:rsidR="00577B92" w:rsidRPr="00F62BA4">
        <w:rPr>
          <w:rFonts w:ascii="Times New Roman" w:hAnsi="Times New Roman" w:cs="Times New Roman"/>
          <w:sz w:val="24"/>
          <w:szCs w:val="24"/>
        </w:rPr>
        <w:t xml:space="preserve"> Russian intervention was crucial to securing a negotiated end (or pause) to the conflict, but efforts to incorporate Transnistran interests into Moldova’s governance structure have been met </w:t>
      </w:r>
      <w:r w:rsidR="00577B92" w:rsidRPr="00F62BA4">
        <w:rPr>
          <w:rFonts w:ascii="Times New Roman" w:hAnsi="Times New Roman" w:cs="Times New Roman"/>
          <w:sz w:val="24"/>
          <w:szCs w:val="24"/>
        </w:rPr>
        <w:lastRenderedPageBreak/>
        <w:t>with hostility on the part of the separatists</w:t>
      </w:r>
      <w:r w:rsidR="00C01AED" w:rsidRPr="00F62BA4">
        <w:rPr>
          <w:rFonts w:ascii="Times New Roman" w:hAnsi="Times New Roman" w:cs="Times New Roman"/>
          <w:sz w:val="24"/>
          <w:szCs w:val="24"/>
        </w:rPr>
        <w:t>. Instead, the separatists have busied themselves trying to establish a facsimile of a functional state, with mixed results at best.</w:t>
      </w:r>
      <w:r w:rsidR="00C01AED" w:rsidRPr="00F62BA4">
        <w:rPr>
          <w:rStyle w:val="FootnoteReference"/>
          <w:rFonts w:ascii="Times New Roman" w:hAnsi="Times New Roman" w:cs="Times New Roman"/>
          <w:sz w:val="24"/>
          <w:szCs w:val="24"/>
        </w:rPr>
        <w:footnoteReference w:id="340"/>
      </w:r>
    </w:p>
    <w:p w:rsidR="00B63B98" w:rsidRPr="00F62BA4" w:rsidRDefault="00B63B98" w:rsidP="006D0328">
      <w:pPr>
        <w:rPr>
          <w:rFonts w:ascii="Times New Roman" w:hAnsi="Times New Roman" w:cs="Times New Roman"/>
          <w:b/>
          <w:sz w:val="24"/>
          <w:szCs w:val="24"/>
        </w:rPr>
      </w:pPr>
      <w:r w:rsidRPr="00F62BA4">
        <w:rPr>
          <w:rFonts w:ascii="Times New Roman" w:hAnsi="Times New Roman" w:cs="Times New Roman"/>
          <w:b/>
          <w:sz w:val="24"/>
          <w:szCs w:val="24"/>
        </w:rPr>
        <w:t>Morocco (1976-1991)</w:t>
      </w:r>
    </w:p>
    <w:p w:rsidR="00B63B98" w:rsidRPr="00F62BA4" w:rsidRDefault="00B63B98" w:rsidP="006D0328">
      <w:pPr>
        <w:rPr>
          <w:rFonts w:ascii="Times New Roman" w:hAnsi="Times New Roman" w:cs="Times New Roman"/>
          <w:sz w:val="24"/>
          <w:szCs w:val="24"/>
        </w:rPr>
      </w:pPr>
      <w:r w:rsidRPr="00F62BA4">
        <w:rPr>
          <w:rFonts w:ascii="Times New Roman" w:hAnsi="Times New Roman" w:cs="Times New Roman"/>
          <w:sz w:val="24"/>
          <w:szCs w:val="24"/>
        </w:rPr>
        <w:t>Rebels / Incumbents: Polisario Front / Morocco</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2; Public Goods: 2;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2</w:t>
      </w:r>
    </w:p>
    <w:p w:rsidR="00B63B98" w:rsidRPr="00F62BA4" w:rsidRDefault="00B63B98" w:rsidP="006D0328">
      <w:pPr>
        <w:rPr>
          <w:rFonts w:ascii="Times New Roman" w:hAnsi="Times New Roman" w:cs="Times New Roman"/>
          <w:sz w:val="24"/>
          <w:szCs w:val="24"/>
        </w:rPr>
      </w:pPr>
      <w:r w:rsidRPr="00F62BA4">
        <w:rPr>
          <w:rFonts w:ascii="Times New Roman" w:hAnsi="Times New Roman" w:cs="Times New Roman"/>
          <w:sz w:val="24"/>
          <w:szCs w:val="24"/>
        </w:rPr>
        <w:tab/>
      </w:r>
      <w:r w:rsidR="009B38A9" w:rsidRPr="00F62BA4">
        <w:rPr>
          <w:rFonts w:ascii="Times New Roman" w:hAnsi="Times New Roman" w:cs="Times New Roman"/>
          <w:sz w:val="24"/>
          <w:szCs w:val="24"/>
        </w:rPr>
        <w:t>The Polisario Front was formed in 1973, before Morocco had a claim to Western Sahara.</w:t>
      </w:r>
      <w:r w:rsidR="009B38A9" w:rsidRPr="00F62BA4">
        <w:rPr>
          <w:rStyle w:val="FootnoteReference"/>
          <w:rFonts w:ascii="Times New Roman" w:hAnsi="Times New Roman" w:cs="Times New Roman"/>
          <w:sz w:val="24"/>
          <w:szCs w:val="24"/>
        </w:rPr>
        <w:footnoteReference w:id="341"/>
      </w:r>
      <w:r w:rsidR="00D04B1A" w:rsidRPr="00F62BA4">
        <w:rPr>
          <w:rFonts w:ascii="Times New Roman" w:hAnsi="Times New Roman" w:cs="Times New Roman"/>
          <w:sz w:val="24"/>
          <w:szCs w:val="24"/>
        </w:rPr>
        <w:t xml:space="preserve"> At the time, the region was still a Spanish colonial holding. By 1975, the UN was convinced that Western Sahara should become an independent state. However, Morocco, who had argued unsuccessfully that it should be allowed to annex the region in 1956, invaded, quickly securing de facto control. Shortly thereafter, Spain relinquished its claim on Western Sahara. The Polisario front, still determined to secure independence, began a decades-long military and political campaign against Moroccan rule.</w:t>
      </w:r>
    </w:p>
    <w:p w:rsidR="00B63B98" w:rsidRPr="00F62BA4" w:rsidRDefault="00B63B98"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Polisario Front have supported their cause internationally by seeking (and acquiring) membership into the Organization of African </w:t>
      </w:r>
      <w:r w:rsidR="008923EC" w:rsidRPr="00F62BA4">
        <w:rPr>
          <w:rFonts w:ascii="Times New Roman" w:hAnsi="Times New Roman" w:cs="Times New Roman"/>
          <w:sz w:val="24"/>
          <w:szCs w:val="24"/>
        </w:rPr>
        <w:t>Unity</w:t>
      </w:r>
      <w:r w:rsidRPr="00F62BA4">
        <w:rPr>
          <w:rFonts w:ascii="Times New Roman" w:hAnsi="Times New Roman" w:cs="Times New Roman"/>
          <w:sz w:val="24"/>
          <w:szCs w:val="24"/>
        </w:rPr>
        <w:t xml:space="preserve"> in 1982 for their Saharan Arab Democratic Republic</w:t>
      </w:r>
      <w:r w:rsidR="008923EC" w:rsidRPr="00F62BA4">
        <w:rPr>
          <w:rFonts w:ascii="Times New Roman" w:hAnsi="Times New Roman" w:cs="Times New Roman"/>
          <w:sz w:val="24"/>
          <w:szCs w:val="24"/>
        </w:rPr>
        <w:t xml:space="preserve"> (SADR)</w:t>
      </w:r>
      <w:r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342"/>
      </w:r>
      <w:r w:rsidRPr="00F62BA4">
        <w:rPr>
          <w:rFonts w:ascii="Times New Roman" w:hAnsi="Times New Roman" w:cs="Times New Roman"/>
          <w:sz w:val="24"/>
          <w:szCs w:val="24"/>
        </w:rPr>
        <w:t xml:space="preserve"> </w:t>
      </w:r>
      <w:r w:rsidR="008923EC" w:rsidRPr="00F62BA4">
        <w:rPr>
          <w:rFonts w:ascii="Times New Roman" w:hAnsi="Times New Roman" w:cs="Times New Roman"/>
          <w:sz w:val="24"/>
          <w:szCs w:val="24"/>
        </w:rPr>
        <w:t>Although this led to chaos within the organization, its accession was not without reason; since the conflict’s outset, The Polisario Front has taken pains to establish a parallel state with all of the requisite institutional trappings. While SADR was by no means a consolidated state, it was able to provide some of the goods of governance to its subject population.</w:t>
      </w:r>
    </w:p>
    <w:p w:rsidR="00D04B1A" w:rsidRPr="00F62BA4" w:rsidRDefault="00313137" w:rsidP="006D0328">
      <w:pPr>
        <w:rPr>
          <w:rFonts w:ascii="Times New Roman" w:hAnsi="Times New Roman" w:cs="Times New Roman"/>
          <w:sz w:val="24"/>
          <w:szCs w:val="24"/>
        </w:rPr>
      </w:pPr>
      <w:r w:rsidRPr="00F62BA4">
        <w:rPr>
          <w:rFonts w:ascii="Times New Roman" w:hAnsi="Times New Roman" w:cs="Times New Roman"/>
          <w:sz w:val="24"/>
          <w:szCs w:val="24"/>
        </w:rPr>
        <w:tab/>
      </w:r>
      <w:r w:rsidR="00451A4F" w:rsidRPr="00F62BA4">
        <w:rPr>
          <w:rFonts w:ascii="Times New Roman" w:hAnsi="Times New Roman" w:cs="Times New Roman"/>
          <w:sz w:val="24"/>
          <w:szCs w:val="24"/>
        </w:rPr>
        <w:t>The most impressive of these trappings was SADR’s electoral basis. From early on in the conflict, the proto-state had a complex political authority structure that relied on popular elections.</w:t>
      </w:r>
      <w:r w:rsidR="00451A4F" w:rsidRPr="00F62BA4">
        <w:rPr>
          <w:rStyle w:val="FootnoteReference"/>
          <w:rFonts w:ascii="Times New Roman" w:hAnsi="Times New Roman" w:cs="Times New Roman"/>
          <w:sz w:val="24"/>
          <w:szCs w:val="24"/>
        </w:rPr>
        <w:footnoteReference w:id="343"/>
      </w:r>
      <w:r w:rsidR="00451A4F" w:rsidRPr="00F62BA4">
        <w:rPr>
          <w:rFonts w:ascii="Times New Roman" w:hAnsi="Times New Roman" w:cs="Times New Roman"/>
          <w:sz w:val="24"/>
          <w:szCs w:val="24"/>
        </w:rPr>
        <w:t xml:space="preserve"> Although popular decision-making has roots in Sharawi culture, this is impressive nonetheless. Another element of rebel governance which manifested itself based in part on its place in Sahrawi culture is education. One of the first elements of governance the Polisario Front used against their former colonial masters was a series of schools for women which also served as a means of recruitment.</w:t>
      </w:r>
      <w:r w:rsidR="00A64FF6" w:rsidRPr="00F62BA4">
        <w:rPr>
          <w:rFonts w:ascii="Times New Roman" w:hAnsi="Times New Roman" w:cs="Times New Roman"/>
          <w:sz w:val="24"/>
          <w:szCs w:val="24"/>
        </w:rPr>
        <w:t xml:space="preserve"> While not as robust as its educational system, SADR also boasted a number of health clinics.</w:t>
      </w:r>
      <w:r w:rsidR="00A64FF6" w:rsidRPr="00F62BA4">
        <w:rPr>
          <w:rStyle w:val="FootnoteReference"/>
          <w:rFonts w:ascii="Times New Roman" w:hAnsi="Times New Roman" w:cs="Times New Roman"/>
          <w:sz w:val="24"/>
          <w:szCs w:val="24"/>
        </w:rPr>
        <w:footnoteReference w:id="344"/>
      </w:r>
    </w:p>
    <w:p w:rsidR="00A64FF6" w:rsidRPr="00F62BA4" w:rsidRDefault="00A64FF6"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One of the reasons that SADR has been more successful in providing education than medicine is the problem of materials, but it also bears mentioning that education is also better </w:t>
      </w:r>
      <w:r w:rsidRPr="00F62BA4">
        <w:rPr>
          <w:rFonts w:ascii="Times New Roman" w:hAnsi="Times New Roman" w:cs="Times New Roman"/>
          <w:sz w:val="24"/>
          <w:szCs w:val="24"/>
        </w:rPr>
        <w:lastRenderedPageBreak/>
        <w:t xml:space="preserve">incorporated into SADR’s </w:t>
      </w:r>
      <w:r w:rsidR="00833C86" w:rsidRPr="00F62BA4">
        <w:rPr>
          <w:rFonts w:ascii="Times New Roman" w:hAnsi="Times New Roman" w:cs="Times New Roman"/>
          <w:sz w:val="24"/>
          <w:szCs w:val="24"/>
        </w:rPr>
        <w:t>micro</w:t>
      </w:r>
      <w:r w:rsidRPr="00F62BA4">
        <w:rPr>
          <w:rFonts w:ascii="Times New Roman" w:hAnsi="Times New Roman" w:cs="Times New Roman"/>
          <w:sz w:val="24"/>
          <w:szCs w:val="24"/>
        </w:rPr>
        <w:t>-level political organization.</w:t>
      </w:r>
      <w:r w:rsidRPr="00F62BA4">
        <w:rPr>
          <w:rStyle w:val="FootnoteReference"/>
          <w:rFonts w:ascii="Times New Roman" w:hAnsi="Times New Roman" w:cs="Times New Roman"/>
          <w:sz w:val="24"/>
          <w:szCs w:val="24"/>
        </w:rPr>
        <w:footnoteReference w:id="345"/>
      </w:r>
      <w:r w:rsidRPr="00F62BA4">
        <w:rPr>
          <w:rFonts w:ascii="Times New Roman" w:hAnsi="Times New Roman" w:cs="Times New Roman"/>
          <w:sz w:val="24"/>
          <w:szCs w:val="24"/>
        </w:rPr>
        <w:t xml:space="preserve"> While education as well as policing</w:t>
      </w:r>
      <w:r w:rsidR="00833C86" w:rsidRPr="00F62BA4">
        <w:rPr>
          <w:rFonts w:ascii="Times New Roman" w:hAnsi="Times New Roman" w:cs="Times New Roman"/>
          <w:sz w:val="24"/>
          <w:szCs w:val="24"/>
        </w:rPr>
        <w:t>, justice, and food distribution</w:t>
      </w:r>
      <w:r w:rsidRPr="00F62BA4">
        <w:rPr>
          <w:rFonts w:ascii="Times New Roman" w:hAnsi="Times New Roman" w:cs="Times New Roman"/>
          <w:sz w:val="24"/>
          <w:szCs w:val="24"/>
        </w:rPr>
        <w:t xml:space="preserve"> are handled at this level, health is not</w:t>
      </w:r>
      <w:r w:rsidR="00833C86" w:rsidRPr="00F62BA4">
        <w:rPr>
          <w:rStyle w:val="FootnoteReference"/>
          <w:rFonts w:ascii="Times New Roman" w:hAnsi="Times New Roman" w:cs="Times New Roman"/>
          <w:sz w:val="24"/>
          <w:szCs w:val="24"/>
        </w:rPr>
        <w:footnoteReference w:id="346"/>
      </w:r>
      <w:r w:rsidRPr="00F62BA4">
        <w:rPr>
          <w:rFonts w:ascii="Times New Roman" w:hAnsi="Times New Roman" w:cs="Times New Roman"/>
          <w:sz w:val="24"/>
          <w:szCs w:val="24"/>
        </w:rPr>
        <w:t xml:space="preserve"> (likely a reflection of the difficulties providing medicine in non-village camps). With that said, observers marveled at the degree to which these organizational implements functioned as designed in spite of the ongoing struggle against the Moroccan state.</w:t>
      </w:r>
    </w:p>
    <w:p w:rsidR="006D0328"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t>Mozambique</w:t>
      </w:r>
      <w:r w:rsidR="004D11D2" w:rsidRPr="00F62BA4">
        <w:rPr>
          <w:rFonts w:ascii="Times New Roman" w:hAnsi="Times New Roman" w:cs="Times New Roman"/>
          <w:b/>
          <w:sz w:val="24"/>
          <w:szCs w:val="24"/>
        </w:rPr>
        <w:t xml:space="preserve"> (1982-1992)</w:t>
      </w:r>
    </w:p>
    <w:p w:rsidR="00D42950" w:rsidRPr="00F62BA4" w:rsidRDefault="00D42950" w:rsidP="006D0328">
      <w:pPr>
        <w:rPr>
          <w:rFonts w:ascii="Times New Roman" w:hAnsi="Times New Roman" w:cs="Times New Roman"/>
          <w:sz w:val="24"/>
          <w:szCs w:val="24"/>
        </w:rPr>
      </w:pPr>
      <w:r w:rsidRPr="00F62BA4">
        <w:rPr>
          <w:rFonts w:ascii="Times New Roman" w:hAnsi="Times New Roman" w:cs="Times New Roman"/>
          <w:sz w:val="24"/>
          <w:szCs w:val="24"/>
        </w:rPr>
        <w:t>Rebels</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Incumbents</w:t>
      </w:r>
      <w:r w:rsidRPr="00F62BA4">
        <w:rPr>
          <w:rFonts w:ascii="Times New Roman" w:hAnsi="Times New Roman" w:cs="Times New Roman"/>
          <w:sz w:val="24"/>
          <w:szCs w:val="24"/>
        </w:rPr>
        <w:t>: RENAMO</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w:t>
      </w:r>
      <w:r w:rsidR="00C7380F"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FRELIMO</w:t>
      </w:r>
    </w:p>
    <w:p w:rsidR="00D42950" w:rsidRPr="00F62BA4"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D42950" w:rsidRPr="00F62BA4">
        <w:rPr>
          <w:rFonts w:ascii="Times New Roman" w:hAnsi="Times New Roman" w:cs="Times New Roman"/>
          <w:b/>
          <w:sz w:val="24"/>
          <w:szCs w:val="24"/>
        </w:rPr>
        <w:t xml:space="preserve">: 0; Public Goods: </w:t>
      </w:r>
      <w:r w:rsidR="00D45C69" w:rsidRPr="00F62BA4">
        <w:rPr>
          <w:rFonts w:ascii="Times New Roman" w:hAnsi="Times New Roman" w:cs="Times New Roman"/>
          <w:b/>
          <w:sz w:val="24"/>
          <w:szCs w:val="24"/>
        </w:rPr>
        <w:t>0</w:t>
      </w:r>
      <w:r w:rsidR="00D42950"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42950" w:rsidRPr="00F62BA4">
        <w:rPr>
          <w:rFonts w:ascii="Times New Roman" w:hAnsi="Times New Roman" w:cs="Times New Roman"/>
          <w:b/>
          <w:sz w:val="24"/>
          <w:szCs w:val="24"/>
        </w:rPr>
        <w:t>: 0</w:t>
      </w:r>
    </w:p>
    <w:p w:rsidR="00AA00BE" w:rsidRPr="00AA00BE" w:rsidRDefault="00AA00BE" w:rsidP="006D0328">
      <w:pPr>
        <w:rPr>
          <w:rFonts w:ascii="Times New Roman" w:hAnsi="Times New Roman" w:cs="Times New Roman"/>
          <w:sz w:val="24"/>
          <w:szCs w:val="24"/>
        </w:rPr>
      </w:pPr>
      <w:r>
        <w:rPr>
          <w:rFonts w:ascii="Times New Roman" w:hAnsi="Times New Roman" w:cs="Times New Roman"/>
          <w:sz w:val="24"/>
          <w:szCs w:val="24"/>
        </w:rPr>
        <w:t>See Case Study Chapter</w:t>
      </w:r>
    </w:p>
    <w:p w:rsidR="00341157" w:rsidRPr="00F62BA4" w:rsidRDefault="00341157" w:rsidP="006D0328">
      <w:pPr>
        <w:rPr>
          <w:rFonts w:ascii="Times New Roman" w:hAnsi="Times New Roman" w:cs="Times New Roman"/>
          <w:b/>
          <w:sz w:val="24"/>
          <w:szCs w:val="24"/>
        </w:rPr>
      </w:pPr>
      <w:r w:rsidRPr="00F62BA4">
        <w:rPr>
          <w:rFonts w:ascii="Times New Roman" w:hAnsi="Times New Roman" w:cs="Times New Roman"/>
          <w:b/>
          <w:sz w:val="24"/>
          <w:szCs w:val="24"/>
        </w:rPr>
        <w:t>Nepal (1996-2006)</w:t>
      </w:r>
    </w:p>
    <w:p w:rsidR="00341157" w:rsidRPr="00F62BA4" w:rsidRDefault="00341157" w:rsidP="006D0328">
      <w:pPr>
        <w:rPr>
          <w:rFonts w:ascii="Times New Roman" w:hAnsi="Times New Roman" w:cs="Times New Roman"/>
          <w:sz w:val="24"/>
          <w:szCs w:val="24"/>
        </w:rPr>
      </w:pPr>
      <w:r w:rsidRPr="00F62BA4">
        <w:rPr>
          <w:rFonts w:ascii="Times New Roman" w:hAnsi="Times New Roman" w:cs="Times New Roman"/>
          <w:sz w:val="24"/>
          <w:szCs w:val="24"/>
        </w:rPr>
        <w:t>Rebels / Incumbents: Communist Party of Nepal / Nepal</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2;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2</w:t>
      </w:r>
    </w:p>
    <w:p w:rsidR="00F3334F" w:rsidRPr="00F62BA4" w:rsidRDefault="00F3334F" w:rsidP="006D0328">
      <w:pPr>
        <w:rPr>
          <w:rFonts w:ascii="Times New Roman" w:hAnsi="Times New Roman" w:cs="Times New Roman"/>
          <w:sz w:val="24"/>
          <w:szCs w:val="24"/>
        </w:rPr>
      </w:pPr>
      <w:r w:rsidRPr="00F62BA4">
        <w:rPr>
          <w:rFonts w:ascii="Times New Roman" w:hAnsi="Times New Roman" w:cs="Times New Roman"/>
          <w:sz w:val="24"/>
          <w:szCs w:val="24"/>
        </w:rPr>
        <w:tab/>
        <w:t>Nepal’s Maoist insurgency was driven by a myriad of factors.</w:t>
      </w:r>
      <w:r w:rsidRPr="00F62BA4">
        <w:rPr>
          <w:rStyle w:val="FootnoteReference"/>
          <w:rFonts w:ascii="Times New Roman" w:hAnsi="Times New Roman" w:cs="Times New Roman"/>
          <w:sz w:val="24"/>
          <w:szCs w:val="24"/>
        </w:rPr>
        <w:footnoteReference w:id="347"/>
      </w:r>
      <w:r w:rsidRPr="00F62BA4">
        <w:rPr>
          <w:rFonts w:ascii="Times New Roman" w:hAnsi="Times New Roman" w:cs="Times New Roman"/>
          <w:sz w:val="24"/>
          <w:szCs w:val="24"/>
        </w:rPr>
        <w:t xml:space="preserve"> Extreme poverty, official corruption, and the lack of meaningful change from democratization seem to have been especially effective, although this is hardly an exhaustive list</w:t>
      </w:r>
      <w:r w:rsidR="009F30C6" w:rsidRPr="00F62BA4">
        <w:rPr>
          <w:rFonts w:ascii="Times New Roman" w:hAnsi="Times New Roman" w:cs="Times New Roman"/>
          <w:sz w:val="24"/>
          <w:szCs w:val="24"/>
        </w:rPr>
        <w:t>. Regardless, the hills of mid-western Nepal (especially the Rolpa district) served as an incubator for a decade-long civil war which would see the end of a centuries-old monarchy.</w:t>
      </w:r>
      <w:r w:rsidR="009F30C6" w:rsidRPr="00F62BA4">
        <w:rPr>
          <w:rStyle w:val="FootnoteReference"/>
          <w:rFonts w:ascii="Times New Roman" w:hAnsi="Times New Roman" w:cs="Times New Roman"/>
          <w:sz w:val="24"/>
          <w:szCs w:val="24"/>
        </w:rPr>
        <w:footnoteReference w:id="348"/>
      </w:r>
    </w:p>
    <w:p w:rsidR="009F30C6" w:rsidRPr="00F62BA4" w:rsidRDefault="009F30C6" w:rsidP="006D0328">
      <w:pPr>
        <w:rPr>
          <w:rFonts w:ascii="Times New Roman" w:hAnsi="Times New Roman" w:cs="Times New Roman"/>
          <w:sz w:val="24"/>
          <w:szCs w:val="24"/>
        </w:rPr>
      </w:pPr>
      <w:r w:rsidRPr="00F62BA4">
        <w:rPr>
          <w:rFonts w:ascii="Times New Roman" w:hAnsi="Times New Roman" w:cs="Times New Roman"/>
          <w:sz w:val="24"/>
          <w:szCs w:val="24"/>
        </w:rPr>
        <w:tab/>
        <w:t>Nepal’s Maoists had a clear political agenda which from the beginning they took pains to establish. One of the first manifestations of this was the institution of “People’s Courts.”</w:t>
      </w:r>
      <w:r w:rsidRPr="00F62BA4">
        <w:rPr>
          <w:rStyle w:val="FootnoteReference"/>
          <w:rFonts w:ascii="Times New Roman" w:hAnsi="Times New Roman" w:cs="Times New Roman"/>
          <w:sz w:val="24"/>
          <w:szCs w:val="24"/>
        </w:rPr>
        <w:footnoteReference w:id="349"/>
      </w:r>
      <w:r w:rsidR="00DF0B92" w:rsidRPr="00F62BA4">
        <w:rPr>
          <w:rFonts w:ascii="Times New Roman" w:hAnsi="Times New Roman" w:cs="Times New Roman"/>
          <w:sz w:val="24"/>
          <w:szCs w:val="24"/>
        </w:rPr>
        <w:t xml:space="preserve"> Corruption in state courts and pressure from insurgents ensured that there were always plenty of grievances that these ad-hoc courts could hear and adjudicate. </w:t>
      </w:r>
      <w:r w:rsidR="00B24366" w:rsidRPr="00F62BA4">
        <w:rPr>
          <w:rFonts w:ascii="Times New Roman" w:hAnsi="Times New Roman" w:cs="Times New Roman"/>
          <w:sz w:val="24"/>
          <w:szCs w:val="24"/>
        </w:rPr>
        <w:t xml:space="preserve">Another early manifestation of Maoist governance was the collection of taxes, although some of the taxed would likely protest at these contributions being described as such. For instance, </w:t>
      </w:r>
      <w:r w:rsidR="00C36A03" w:rsidRPr="00F62BA4">
        <w:rPr>
          <w:rFonts w:ascii="Times New Roman" w:hAnsi="Times New Roman" w:cs="Times New Roman"/>
          <w:sz w:val="24"/>
          <w:szCs w:val="24"/>
        </w:rPr>
        <w:t>Nishchal Nath Pandey</w:t>
      </w:r>
      <w:r w:rsidR="00B24366" w:rsidRPr="00F62BA4">
        <w:rPr>
          <w:rFonts w:ascii="Times New Roman" w:hAnsi="Times New Roman" w:cs="Times New Roman"/>
          <w:sz w:val="24"/>
          <w:szCs w:val="24"/>
        </w:rPr>
        <w:t xml:space="preserve"> describes some of the contributions from banks as little more than robberies.</w:t>
      </w:r>
      <w:r w:rsidR="00C36A03" w:rsidRPr="00F62BA4">
        <w:rPr>
          <w:rStyle w:val="FootnoteReference"/>
          <w:rFonts w:ascii="Times New Roman" w:hAnsi="Times New Roman" w:cs="Times New Roman"/>
          <w:sz w:val="24"/>
          <w:szCs w:val="24"/>
        </w:rPr>
        <w:footnoteReference w:id="350"/>
      </w:r>
    </w:p>
    <w:p w:rsidR="00623F43" w:rsidRPr="00F62BA4" w:rsidRDefault="00DF0B92" w:rsidP="006D0328">
      <w:pPr>
        <w:rPr>
          <w:rFonts w:ascii="Times New Roman" w:hAnsi="Times New Roman" w:cs="Times New Roman"/>
          <w:sz w:val="24"/>
          <w:szCs w:val="24"/>
        </w:rPr>
      </w:pPr>
      <w:r w:rsidRPr="00F62BA4">
        <w:rPr>
          <w:rFonts w:ascii="Times New Roman" w:hAnsi="Times New Roman" w:cs="Times New Roman"/>
          <w:sz w:val="24"/>
          <w:szCs w:val="24"/>
        </w:rPr>
        <w:lastRenderedPageBreak/>
        <w:tab/>
        <w:t>Between 1998 and 2001, the Communist Party of Nepal began to establish a more comprehensive “people’s government” as a parallel to the state.</w:t>
      </w:r>
      <w:r w:rsidRPr="00F62BA4">
        <w:rPr>
          <w:rStyle w:val="FootnoteReference"/>
          <w:rFonts w:ascii="Times New Roman" w:hAnsi="Times New Roman" w:cs="Times New Roman"/>
          <w:sz w:val="24"/>
          <w:szCs w:val="24"/>
        </w:rPr>
        <w:footnoteReference w:id="351"/>
      </w:r>
      <w:r w:rsidRPr="00F62BA4">
        <w:rPr>
          <w:rFonts w:ascii="Times New Roman" w:hAnsi="Times New Roman" w:cs="Times New Roman"/>
          <w:sz w:val="24"/>
          <w:szCs w:val="24"/>
        </w:rPr>
        <w:t xml:space="preserve"> </w:t>
      </w:r>
      <w:r w:rsidR="00623F43" w:rsidRPr="00F62BA4">
        <w:rPr>
          <w:rFonts w:ascii="Times New Roman" w:hAnsi="Times New Roman" w:cs="Times New Roman"/>
          <w:sz w:val="24"/>
          <w:szCs w:val="24"/>
        </w:rPr>
        <w:t>This allowed the party to set up a bounded matrix within which their subject populations could interact with the party and (more importantly) a means by which that population could participate in their own administration. People’s committees were filled originally by members selected during mass meetings, but soon after elections for positions were held. The administration also took over the provision of education, which was specifically anti-Sanskrit, as the institutions associated with religion in Nepal were seen as responsible for popular repression.</w:t>
      </w:r>
    </w:p>
    <w:p w:rsidR="00DA26AE" w:rsidRPr="00F62BA4" w:rsidRDefault="00DA26AE" w:rsidP="006D0328">
      <w:pPr>
        <w:rPr>
          <w:rFonts w:ascii="Times New Roman" w:hAnsi="Times New Roman" w:cs="Times New Roman"/>
          <w:b/>
          <w:sz w:val="24"/>
          <w:szCs w:val="24"/>
        </w:rPr>
      </w:pPr>
      <w:r w:rsidRPr="00F62BA4">
        <w:rPr>
          <w:rFonts w:ascii="Times New Roman" w:hAnsi="Times New Roman" w:cs="Times New Roman"/>
          <w:b/>
          <w:sz w:val="24"/>
          <w:szCs w:val="24"/>
        </w:rPr>
        <w:t>Nicaragua (1981-1989)</w:t>
      </w:r>
    </w:p>
    <w:p w:rsidR="00DA26AE" w:rsidRPr="00F62BA4" w:rsidRDefault="00DA26AE" w:rsidP="006D0328">
      <w:pPr>
        <w:rPr>
          <w:rFonts w:ascii="Times New Roman" w:hAnsi="Times New Roman" w:cs="Times New Roman"/>
          <w:sz w:val="24"/>
          <w:szCs w:val="24"/>
        </w:rPr>
      </w:pPr>
      <w:r w:rsidRPr="00F62BA4">
        <w:rPr>
          <w:rFonts w:ascii="Times New Roman" w:hAnsi="Times New Roman" w:cs="Times New Roman"/>
          <w:sz w:val="24"/>
          <w:szCs w:val="24"/>
        </w:rPr>
        <w:t>Rebels / Incumbents: Contras (Nicaraguan Democratic Force (FDN), Democratic Revolutionary Alliance (ARDE), Misura) / Sandinista National Liberation Front (FSLN)</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DA26AE" w:rsidRPr="00F62BA4" w:rsidRDefault="00DA26AE" w:rsidP="006D0328">
      <w:pPr>
        <w:rPr>
          <w:rFonts w:ascii="Times New Roman" w:hAnsi="Times New Roman" w:cs="Times New Roman"/>
          <w:sz w:val="24"/>
          <w:szCs w:val="24"/>
        </w:rPr>
      </w:pPr>
      <w:r w:rsidRPr="00F62BA4">
        <w:rPr>
          <w:rFonts w:ascii="Times New Roman" w:hAnsi="Times New Roman" w:cs="Times New Roman"/>
          <w:sz w:val="24"/>
          <w:szCs w:val="24"/>
        </w:rPr>
        <w:tab/>
        <w:t>The Sandinista rebels made quick work of Somoza’s repressive regime in Nicaragua, but their victory would be short-lived. Right wing militias formed in the wake of the revolution began to violently contest Sandinista control of the country.</w:t>
      </w:r>
      <w:r w:rsidRPr="00F62BA4">
        <w:rPr>
          <w:rStyle w:val="FootnoteReference"/>
          <w:rFonts w:ascii="Times New Roman" w:hAnsi="Times New Roman" w:cs="Times New Roman"/>
          <w:sz w:val="24"/>
          <w:szCs w:val="24"/>
        </w:rPr>
        <w:footnoteReference w:id="352"/>
      </w:r>
      <w:r w:rsidR="00F20A83" w:rsidRPr="00F62BA4">
        <w:rPr>
          <w:rFonts w:ascii="Times New Roman" w:hAnsi="Times New Roman" w:cs="Times New Roman"/>
          <w:sz w:val="24"/>
          <w:szCs w:val="24"/>
        </w:rPr>
        <w:t xml:space="preserve"> The FDN, operating in the north of the country, was by far the largest and most dangerous of the militias, taking advantage both of popular support and American patronage.</w:t>
      </w:r>
    </w:p>
    <w:p w:rsidR="00F20A83" w:rsidRPr="00F62BA4" w:rsidRDefault="00F20A83" w:rsidP="006D0328">
      <w:pPr>
        <w:rPr>
          <w:rFonts w:ascii="Times New Roman" w:hAnsi="Times New Roman" w:cs="Times New Roman"/>
          <w:sz w:val="24"/>
          <w:szCs w:val="24"/>
        </w:rPr>
      </w:pPr>
      <w:r w:rsidRPr="00F62BA4">
        <w:rPr>
          <w:rFonts w:ascii="Times New Roman" w:hAnsi="Times New Roman" w:cs="Times New Roman"/>
          <w:sz w:val="24"/>
          <w:szCs w:val="24"/>
        </w:rPr>
        <w:tab/>
      </w:r>
      <w:r w:rsidR="00716DCD" w:rsidRPr="00F62BA4">
        <w:rPr>
          <w:rFonts w:ascii="Times New Roman" w:hAnsi="Times New Roman" w:cs="Times New Roman"/>
          <w:sz w:val="24"/>
          <w:szCs w:val="24"/>
        </w:rPr>
        <w:t>In spite of their successes, the contras were not effective rulers. They, unlike their adversaries, lacked a unified, coherent political agenda, in part due to a lack of unity among the militias.</w:t>
      </w:r>
      <w:r w:rsidR="00716DCD" w:rsidRPr="00F62BA4">
        <w:rPr>
          <w:rStyle w:val="FootnoteReference"/>
          <w:rFonts w:ascii="Times New Roman" w:hAnsi="Times New Roman" w:cs="Times New Roman"/>
          <w:sz w:val="24"/>
          <w:szCs w:val="24"/>
        </w:rPr>
        <w:footnoteReference w:id="353"/>
      </w:r>
      <w:r w:rsidR="00716DCD" w:rsidRPr="00F62BA4">
        <w:rPr>
          <w:rFonts w:ascii="Times New Roman" w:hAnsi="Times New Roman" w:cs="Times New Roman"/>
          <w:sz w:val="24"/>
          <w:szCs w:val="24"/>
        </w:rPr>
        <w:t xml:space="preserve"> For instance, Misura ostensibly fought for regional autonomy, not to </w:t>
      </w:r>
      <w:r w:rsidR="00984239" w:rsidRPr="00F62BA4">
        <w:rPr>
          <w:rFonts w:ascii="Times New Roman" w:hAnsi="Times New Roman" w:cs="Times New Roman"/>
          <w:sz w:val="24"/>
          <w:szCs w:val="24"/>
        </w:rPr>
        <w:t>seize</w:t>
      </w:r>
      <w:r w:rsidR="00716DCD" w:rsidRPr="00F62BA4">
        <w:rPr>
          <w:rFonts w:ascii="Times New Roman" w:hAnsi="Times New Roman" w:cs="Times New Roman"/>
          <w:sz w:val="24"/>
          <w:szCs w:val="24"/>
        </w:rPr>
        <w:t xml:space="preserve"> the commanding heights of governmental power.</w:t>
      </w:r>
      <w:r w:rsidR="00716DCD" w:rsidRPr="00F62BA4">
        <w:rPr>
          <w:rStyle w:val="FootnoteReference"/>
          <w:rFonts w:ascii="Times New Roman" w:hAnsi="Times New Roman" w:cs="Times New Roman"/>
          <w:sz w:val="24"/>
          <w:szCs w:val="24"/>
        </w:rPr>
        <w:footnoteReference w:id="354"/>
      </w:r>
      <w:r w:rsidR="00984239" w:rsidRPr="00F62BA4">
        <w:rPr>
          <w:rFonts w:ascii="Times New Roman" w:hAnsi="Times New Roman" w:cs="Times New Roman"/>
          <w:sz w:val="24"/>
          <w:szCs w:val="24"/>
        </w:rPr>
        <w:t xml:space="preserve"> Regardless, contra militias (especially the FDN) enjoyed</w:t>
      </w:r>
      <w:r w:rsidR="000F68BE" w:rsidRPr="00F62BA4">
        <w:rPr>
          <w:rFonts w:ascii="Times New Roman" w:hAnsi="Times New Roman" w:cs="Times New Roman"/>
          <w:sz w:val="24"/>
          <w:szCs w:val="24"/>
        </w:rPr>
        <w:t xml:space="preserve"> some degree of</w:t>
      </w:r>
      <w:r w:rsidR="00984239" w:rsidRPr="00F62BA4">
        <w:rPr>
          <w:rFonts w:ascii="Times New Roman" w:hAnsi="Times New Roman" w:cs="Times New Roman"/>
          <w:sz w:val="24"/>
          <w:szCs w:val="24"/>
        </w:rPr>
        <w:t xml:space="preserve"> territorial control, but did little to </w:t>
      </w:r>
      <w:r w:rsidR="000F68BE" w:rsidRPr="00F62BA4">
        <w:rPr>
          <w:rFonts w:ascii="Times New Roman" w:hAnsi="Times New Roman" w:cs="Times New Roman"/>
          <w:sz w:val="24"/>
          <w:szCs w:val="24"/>
        </w:rPr>
        <w:t>administer it.</w:t>
      </w:r>
      <w:r w:rsidR="000F68BE" w:rsidRPr="00F62BA4">
        <w:rPr>
          <w:rStyle w:val="FootnoteReference"/>
          <w:rFonts w:ascii="Times New Roman" w:hAnsi="Times New Roman" w:cs="Times New Roman"/>
          <w:sz w:val="24"/>
          <w:szCs w:val="24"/>
        </w:rPr>
        <w:footnoteReference w:id="355"/>
      </w:r>
      <w:r w:rsidR="000F68BE" w:rsidRPr="00F62BA4">
        <w:rPr>
          <w:rFonts w:ascii="Times New Roman" w:hAnsi="Times New Roman" w:cs="Times New Roman"/>
          <w:sz w:val="24"/>
          <w:szCs w:val="24"/>
        </w:rPr>
        <w:t xml:space="preserve"> The extent of their administration was to organize networks of informants. After all, contra forces lacked the wherewithal to defeat Sandinista forces, but they did not lack the ability to inflict pain.</w:t>
      </w:r>
      <w:r w:rsidR="000F68BE" w:rsidRPr="00F62BA4">
        <w:rPr>
          <w:rStyle w:val="FootnoteReference"/>
          <w:rFonts w:ascii="Times New Roman" w:hAnsi="Times New Roman" w:cs="Times New Roman"/>
          <w:sz w:val="24"/>
          <w:szCs w:val="24"/>
        </w:rPr>
        <w:footnoteReference w:id="356"/>
      </w:r>
      <w:r w:rsidR="000F68BE" w:rsidRPr="00F62BA4">
        <w:rPr>
          <w:rFonts w:ascii="Times New Roman" w:hAnsi="Times New Roman" w:cs="Times New Roman"/>
          <w:sz w:val="24"/>
          <w:szCs w:val="24"/>
        </w:rPr>
        <w:t xml:space="preserve"> </w:t>
      </w:r>
    </w:p>
    <w:p w:rsidR="00E842B8" w:rsidRPr="00F62BA4" w:rsidRDefault="00E842B8" w:rsidP="006D0328">
      <w:pPr>
        <w:rPr>
          <w:rFonts w:ascii="Times New Roman" w:hAnsi="Times New Roman" w:cs="Times New Roman"/>
          <w:b/>
          <w:sz w:val="24"/>
          <w:szCs w:val="24"/>
        </w:rPr>
      </w:pPr>
      <w:r w:rsidRPr="00F62BA4">
        <w:rPr>
          <w:rFonts w:ascii="Times New Roman" w:hAnsi="Times New Roman" w:cs="Times New Roman"/>
          <w:b/>
          <w:sz w:val="24"/>
          <w:szCs w:val="24"/>
        </w:rPr>
        <w:t>Nigeria (1980-1984)</w:t>
      </w:r>
    </w:p>
    <w:p w:rsidR="00E842B8" w:rsidRPr="00F62BA4" w:rsidRDefault="00E842B8" w:rsidP="006D0328">
      <w:pPr>
        <w:rPr>
          <w:rFonts w:ascii="Times New Roman" w:hAnsi="Times New Roman" w:cs="Times New Roman"/>
          <w:sz w:val="24"/>
          <w:szCs w:val="24"/>
        </w:rPr>
      </w:pPr>
      <w:r w:rsidRPr="00F62BA4">
        <w:rPr>
          <w:rFonts w:ascii="Times New Roman" w:hAnsi="Times New Roman" w:cs="Times New Roman"/>
          <w:sz w:val="24"/>
          <w:szCs w:val="24"/>
        </w:rPr>
        <w:t>Rebels / Incumbents: Yan Tatsine / Nigeria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E842B8" w:rsidRPr="00F62BA4" w:rsidRDefault="00E842B8"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early 1980’s saw the rise of a peculiar brand of Islamic Fundamentalism driven by a self-proclaimed prophet who went by the nickname “Maitatsine.” </w:t>
      </w:r>
      <w:r w:rsidR="006C4C9B" w:rsidRPr="00F62BA4">
        <w:rPr>
          <w:rFonts w:ascii="Times New Roman" w:hAnsi="Times New Roman" w:cs="Times New Roman"/>
          <w:sz w:val="24"/>
          <w:szCs w:val="24"/>
        </w:rPr>
        <w:t xml:space="preserve">His Yan Tatsine group </w:t>
      </w:r>
      <w:r w:rsidR="006C4C9B" w:rsidRPr="00F62BA4">
        <w:rPr>
          <w:rFonts w:ascii="Times New Roman" w:hAnsi="Times New Roman" w:cs="Times New Roman"/>
          <w:sz w:val="24"/>
          <w:szCs w:val="24"/>
        </w:rPr>
        <w:lastRenderedPageBreak/>
        <w:t>participated in violent riots in the early 1980’s which ultimately cost the group’s leader his life in 1980. In spite of the relatively crude means of pursuing them, their goals were relatively well-articulated; Yan Tatsine wanted the liquidation of the Nigerian state and to replace it with an Islamic theocracy which would embody both religious and social tenets of Maitatsine’s interpretation of Islam.</w:t>
      </w:r>
      <w:r w:rsidR="006C4C9B" w:rsidRPr="00F62BA4">
        <w:rPr>
          <w:rStyle w:val="FootnoteReference"/>
          <w:rFonts w:ascii="Times New Roman" w:hAnsi="Times New Roman" w:cs="Times New Roman"/>
          <w:sz w:val="24"/>
          <w:szCs w:val="24"/>
        </w:rPr>
        <w:footnoteReference w:id="357"/>
      </w:r>
    </w:p>
    <w:p w:rsidR="006C4C9B" w:rsidRPr="00F62BA4" w:rsidRDefault="006C4C9B"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group </w:t>
      </w:r>
      <w:r w:rsidR="00377BF7" w:rsidRPr="00F62BA4">
        <w:rPr>
          <w:rFonts w:ascii="Times New Roman" w:hAnsi="Times New Roman" w:cs="Times New Roman"/>
          <w:sz w:val="24"/>
          <w:szCs w:val="24"/>
        </w:rPr>
        <w:t>was able to attract a fair number</w:t>
      </w:r>
      <w:r w:rsidRPr="00F62BA4">
        <w:rPr>
          <w:rFonts w:ascii="Times New Roman" w:hAnsi="Times New Roman" w:cs="Times New Roman"/>
          <w:sz w:val="24"/>
          <w:szCs w:val="24"/>
        </w:rPr>
        <w:t xml:space="preserve"> of followers, particularly in the more devoutly Muslim northern regions of the country.</w:t>
      </w:r>
      <w:r w:rsidR="009C4DF1" w:rsidRPr="00F62BA4">
        <w:rPr>
          <w:rStyle w:val="FootnoteReference"/>
          <w:rFonts w:ascii="Times New Roman" w:hAnsi="Times New Roman" w:cs="Times New Roman"/>
          <w:sz w:val="24"/>
          <w:szCs w:val="24"/>
        </w:rPr>
        <w:footnoteReference w:id="358"/>
      </w:r>
      <w:r w:rsidRPr="00F62BA4">
        <w:rPr>
          <w:rFonts w:ascii="Times New Roman" w:hAnsi="Times New Roman" w:cs="Times New Roman"/>
          <w:sz w:val="24"/>
          <w:szCs w:val="24"/>
        </w:rPr>
        <w:t xml:space="preserve"> However, many who supported the movement were attracted primarily by its call for redistributory policies as </w:t>
      </w:r>
      <w:r w:rsidR="008821E6" w:rsidRPr="00F62BA4">
        <w:rPr>
          <w:rFonts w:ascii="Times New Roman" w:hAnsi="Times New Roman" w:cs="Times New Roman"/>
          <w:sz w:val="24"/>
          <w:szCs w:val="24"/>
        </w:rPr>
        <w:t>Nigeria’s poor tended to live in fairly stark deprivation</w:t>
      </w:r>
      <w:r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359"/>
      </w:r>
      <w:r w:rsidR="008821E6" w:rsidRPr="00F62BA4">
        <w:rPr>
          <w:rFonts w:ascii="Times New Roman" w:hAnsi="Times New Roman" w:cs="Times New Roman"/>
          <w:sz w:val="24"/>
          <w:szCs w:val="24"/>
        </w:rPr>
        <w:t xml:space="preserve"> This is exacerbated by Nigeria’s oil wealth, which enriched a small number of Nigerians.</w:t>
      </w:r>
      <w:r w:rsidR="008821E6" w:rsidRPr="00F62BA4">
        <w:rPr>
          <w:rStyle w:val="FootnoteReference"/>
          <w:rFonts w:ascii="Times New Roman" w:hAnsi="Times New Roman" w:cs="Times New Roman"/>
          <w:sz w:val="24"/>
          <w:szCs w:val="24"/>
        </w:rPr>
        <w:footnoteReference w:id="360"/>
      </w:r>
      <w:r w:rsidR="00377BF7" w:rsidRPr="00F62BA4">
        <w:rPr>
          <w:rFonts w:ascii="Times New Roman" w:hAnsi="Times New Roman" w:cs="Times New Roman"/>
          <w:sz w:val="24"/>
          <w:szCs w:val="24"/>
        </w:rPr>
        <w:t xml:space="preserve"> Yan Tatsine does not appear to have done very much to remedy this, however; the movement is far more notable for its profound bloodlust and sadistic treatment of captives than for its economically equitable policies.</w:t>
      </w:r>
    </w:p>
    <w:p w:rsidR="00377BF7" w:rsidRPr="00F62BA4" w:rsidRDefault="00377BF7" w:rsidP="006D0328">
      <w:pPr>
        <w:rPr>
          <w:rFonts w:ascii="Times New Roman" w:hAnsi="Times New Roman" w:cs="Times New Roman"/>
          <w:sz w:val="24"/>
          <w:szCs w:val="24"/>
        </w:rPr>
      </w:pPr>
      <w:r w:rsidRPr="00F62BA4">
        <w:rPr>
          <w:rFonts w:ascii="Times New Roman" w:hAnsi="Times New Roman" w:cs="Times New Roman"/>
          <w:sz w:val="24"/>
          <w:szCs w:val="24"/>
        </w:rPr>
        <w:tab/>
      </w:r>
      <w:r w:rsidR="00024E2E" w:rsidRPr="00F62BA4">
        <w:rPr>
          <w:rFonts w:ascii="Times New Roman" w:hAnsi="Times New Roman" w:cs="Times New Roman"/>
          <w:sz w:val="24"/>
          <w:szCs w:val="24"/>
        </w:rPr>
        <w:t xml:space="preserve">Indeed, it is not clear that Yan Tatsine </w:t>
      </w:r>
      <w:r w:rsidR="00024E2E" w:rsidRPr="00F62BA4">
        <w:rPr>
          <w:rFonts w:ascii="Times New Roman" w:hAnsi="Times New Roman" w:cs="Times New Roman"/>
          <w:i/>
          <w:sz w:val="24"/>
          <w:szCs w:val="24"/>
        </w:rPr>
        <w:t>had</w:t>
      </w:r>
      <w:r w:rsidR="00024E2E" w:rsidRPr="00F62BA4">
        <w:rPr>
          <w:rFonts w:ascii="Times New Roman" w:hAnsi="Times New Roman" w:cs="Times New Roman"/>
          <w:sz w:val="24"/>
          <w:szCs w:val="24"/>
        </w:rPr>
        <w:t xml:space="preserve"> policies beyond fanatical discipline within its “ranks.”</w:t>
      </w:r>
      <w:r w:rsidR="00024E2E" w:rsidRPr="00F62BA4">
        <w:rPr>
          <w:rStyle w:val="FootnoteReference"/>
          <w:rFonts w:ascii="Times New Roman" w:hAnsi="Times New Roman" w:cs="Times New Roman"/>
          <w:sz w:val="24"/>
          <w:szCs w:val="24"/>
        </w:rPr>
        <w:footnoteReference w:id="361"/>
      </w:r>
      <w:r w:rsidR="00024E2E" w:rsidRPr="00F62BA4">
        <w:rPr>
          <w:rFonts w:ascii="Times New Roman" w:hAnsi="Times New Roman" w:cs="Times New Roman"/>
          <w:sz w:val="24"/>
          <w:szCs w:val="24"/>
        </w:rPr>
        <w:t xml:space="preserve"> It is more accurate to describe the movement as a manifestation of profound discontent at the </w:t>
      </w:r>
      <w:r w:rsidR="0050160E" w:rsidRPr="00F62BA4">
        <w:rPr>
          <w:rFonts w:ascii="Times New Roman" w:hAnsi="Times New Roman" w:cs="Times New Roman"/>
          <w:sz w:val="24"/>
          <w:szCs w:val="24"/>
        </w:rPr>
        <w:t xml:space="preserve">selective prosperity brought about by Nigeria’s oil boom than to describe it as an organized rebel group. It operated sporadically, only manifesting itself in kidnappings and violent riots targeting symbols of the Nigerian state. </w:t>
      </w:r>
    </w:p>
    <w:p w:rsidR="006D64A5" w:rsidRPr="00F62BA4" w:rsidRDefault="006D64A5" w:rsidP="006D0328">
      <w:pPr>
        <w:rPr>
          <w:rFonts w:ascii="Times New Roman" w:hAnsi="Times New Roman" w:cs="Times New Roman"/>
          <w:b/>
          <w:sz w:val="24"/>
          <w:szCs w:val="24"/>
        </w:rPr>
      </w:pPr>
      <w:r w:rsidRPr="00F62BA4">
        <w:rPr>
          <w:rFonts w:ascii="Times New Roman" w:hAnsi="Times New Roman" w:cs="Times New Roman"/>
          <w:b/>
          <w:sz w:val="24"/>
          <w:szCs w:val="24"/>
        </w:rPr>
        <w:t>Pakistan (2004-2006)</w:t>
      </w:r>
    </w:p>
    <w:p w:rsidR="006D64A5" w:rsidRPr="00F62BA4" w:rsidRDefault="006D64A5" w:rsidP="006D0328">
      <w:pPr>
        <w:rPr>
          <w:rFonts w:ascii="Times New Roman" w:hAnsi="Times New Roman" w:cs="Times New Roman"/>
          <w:sz w:val="24"/>
          <w:szCs w:val="24"/>
        </w:rPr>
      </w:pPr>
      <w:r w:rsidRPr="00F62BA4">
        <w:rPr>
          <w:rFonts w:ascii="Times New Roman" w:hAnsi="Times New Roman" w:cs="Times New Roman"/>
          <w:sz w:val="24"/>
          <w:szCs w:val="24"/>
        </w:rPr>
        <w:t>Rebels / Incumbents: Remnants of the Taliban and sympathetic warlords / Pakistan</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6D64A5" w:rsidRPr="00F62BA4" w:rsidRDefault="006D64A5" w:rsidP="006D0328">
      <w:pPr>
        <w:rPr>
          <w:rFonts w:ascii="Times New Roman" w:hAnsi="Times New Roman" w:cs="Times New Roman"/>
          <w:sz w:val="24"/>
          <w:szCs w:val="24"/>
        </w:rPr>
      </w:pPr>
      <w:r w:rsidRPr="00F62BA4">
        <w:rPr>
          <w:rFonts w:ascii="Times New Roman" w:hAnsi="Times New Roman" w:cs="Times New Roman"/>
          <w:sz w:val="24"/>
          <w:szCs w:val="24"/>
        </w:rPr>
        <w:tab/>
      </w:r>
      <w:r w:rsidR="00C44C7B" w:rsidRPr="00F62BA4">
        <w:rPr>
          <w:rFonts w:ascii="Times New Roman" w:hAnsi="Times New Roman" w:cs="Times New Roman"/>
          <w:sz w:val="24"/>
          <w:szCs w:val="24"/>
        </w:rPr>
        <w:t>Pakistan faced violent uprisings in the Federally Administered Tribal Areas (FATA) and Northwest Frontier Province (NWFP) between 2004 and 2006. Between Pakistan’s neglect of these regions and the resentment this neglect caused, it stands to reason that the Taliban would seek a foothold in Northwest Pakistan.</w:t>
      </w:r>
      <w:r w:rsidR="00C44C7B" w:rsidRPr="00F62BA4">
        <w:rPr>
          <w:rStyle w:val="FootnoteReference"/>
          <w:rFonts w:ascii="Times New Roman" w:hAnsi="Times New Roman" w:cs="Times New Roman"/>
          <w:sz w:val="24"/>
          <w:szCs w:val="24"/>
        </w:rPr>
        <w:footnoteReference w:id="362"/>
      </w:r>
      <w:r w:rsidR="00C44C7B" w:rsidRPr="00F62BA4">
        <w:rPr>
          <w:rFonts w:ascii="Times New Roman" w:hAnsi="Times New Roman" w:cs="Times New Roman"/>
          <w:sz w:val="24"/>
          <w:szCs w:val="24"/>
        </w:rPr>
        <w:t xml:space="preserve"> </w:t>
      </w:r>
      <w:r w:rsidR="00271722" w:rsidRPr="00F62BA4">
        <w:rPr>
          <w:rFonts w:ascii="Times New Roman" w:hAnsi="Times New Roman" w:cs="Times New Roman"/>
          <w:sz w:val="24"/>
          <w:szCs w:val="24"/>
        </w:rPr>
        <w:t>The government’s primary mode of response was to offer bilateral peace agreements, in spite of the threat that these groups posed to the Pakistani state. Indeed, this threat would manifest itself again in 2009 when the Swat valley would come under siege.</w:t>
      </w:r>
      <w:r w:rsidR="00271722" w:rsidRPr="00F62BA4">
        <w:rPr>
          <w:rStyle w:val="FootnoteReference"/>
          <w:rFonts w:ascii="Times New Roman" w:hAnsi="Times New Roman" w:cs="Times New Roman"/>
          <w:sz w:val="24"/>
          <w:szCs w:val="24"/>
        </w:rPr>
        <w:footnoteReference w:id="363"/>
      </w:r>
    </w:p>
    <w:p w:rsidR="00496945" w:rsidRPr="00F62BA4" w:rsidRDefault="009076BF" w:rsidP="006D0328">
      <w:pPr>
        <w:rPr>
          <w:rFonts w:ascii="Times New Roman" w:hAnsi="Times New Roman" w:cs="Times New Roman"/>
          <w:sz w:val="24"/>
          <w:szCs w:val="24"/>
        </w:rPr>
      </w:pPr>
      <w:r w:rsidRPr="00F62BA4">
        <w:rPr>
          <w:rFonts w:ascii="Times New Roman" w:hAnsi="Times New Roman" w:cs="Times New Roman"/>
          <w:sz w:val="24"/>
          <w:szCs w:val="24"/>
        </w:rPr>
        <w:lastRenderedPageBreak/>
        <w:tab/>
        <w:t xml:space="preserve">In spite of the near complete lack of state presence </w:t>
      </w:r>
      <w:r w:rsidR="00DE6A74" w:rsidRPr="00F62BA4">
        <w:rPr>
          <w:rFonts w:ascii="Times New Roman" w:hAnsi="Times New Roman" w:cs="Times New Roman"/>
          <w:sz w:val="24"/>
          <w:szCs w:val="24"/>
        </w:rPr>
        <w:t>in the region, it appears that the Taliban and the warlords aligned with it were either ill-prepared to serve as rulers or were unwilling to undertake the project (at least until after it liquidated the state).</w:t>
      </w:r>
      <w:r w:rsidR="00496945" w:rsidRPr="00F62BA4">
        <w:rPr>
          <w:rFonts w:ascii="Times New Roman" w:hAnsi="Times New Roman" w:cs="Times New Roman"/>
          <w:sz w:val="24"/>
          <w:szCs w:val="24"/>
        </w:rPr>
        <w:t xml:space="preserve"> The warlord population appears to have been even less concerned with governing—their primary interest appears to have been squeezing the state for as many resources as could be had in exchange for something resembling acquiescence to de jure state control. In this regard, what popular support there was for Taliban control makes some degree of sense; although thoroughly unregulated and spectacularly brutal, Taliban control brought with it some form of criminal justice.</w:t>
      </w:r>
      <w:r w:rsidR="00496945" w:rsidRPr="00F62BA4">
        <w:rPr>
          <w:rStyle w:val="FootnoteReference"/>
          <w:rFonts w:ascii="Times New Roman" w:hAnsi="Times New Roman" w:cs="Times New Roman"/>
          <w:sz w:val="24"/>
          <w:szCs w:val="24"/>
        </w:rPr>
        <w:footnoteReference w:id="364"/>
      </w:r>
    </w:p>
    <w:p w:rsidR="00FC63AF" w:rsidRPr="00F62BA4" w:rsidRDefault="00FC63AF" w:rsidP="006D0328">
      <w:pPr>
        <w:rPr>
          <w:rFonts w:ascii="Times New Roman" w:hAnsi="Times New Roman" w:cs="Times New Roman"/>
          <w:b/>
          <w:sz w:val="24"/>
          <w:szCs w:val="24"/>
        </w:rPr>
      </w:pPr>
      <w:r w:rsidRPr="00F62BA4">
        <w:rPr>
          <w:rFonts w:ascii="Times New Roman" w:hAnsi="Times New Roman" w:cs="Times New Roman"/>
          <w:b/>
          <w:sz w:val="24"/>
          <w:szCs w:val="24"/>
        </w:rPr>
        <w:t>Papua New Guinea (1989-1998)</w:t>
      </w:r>
    </w:p>
    <w:p w:rsidR="00FC63AF" w:rsidRPr="00F62BA4" w:rsidRDefault="00FC63AF" w:rsidP="006D0328">
      <w:pPr>
        <w:rPr>
          <w:rFonts w:ascii="Times New Roman" w:hAnsi="Times New Roman" w:cs="Times New Roman"/>
          <w:sz w:val="24"/>
          <w:szCs w:val="24"/>
        </w:rPr>
      </w:pPr>
      <w:r w:rsidRPr="00F62BA4">
        <w:rPr>
          <w:rFonts w:ascii="Times New Roman" w:hAnsi="Times New Roman" w:cs="Times New Roman"/>
          <w:sz w:val="24"/>
          <w:szCs w:val="24"/>
        </w:rPr>
        <w:t>Rebels / Incumbents: Bougainville Revolutionary Army / Papua New Guinea</w:t>
      </w:r>
    </w:p>
    <w:p w:rsidR="00D9746E"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FC63AF" w:rsidRPr="00F62BA4" w:rsidRDefault="00FC63AF" w:rsidP="006D0328">
      <w:pPr>
        <w:rPr>
          <w:rFonts w:ascii="Times New Roman" w:hAnsi="Times New Roman" w:cs="Times New Roman"/>
          <w:sz w:val="24"/>
          <w:szCs w:val="24"/>
        </w:rPr>
      </w:pPr>
      <w:r w:rsidRPr="00F62BA4">
        <w:rPr>
          <w:rFonts w:ascii="Times New Roman" w:hAnsi="Times New Roman" w:cs="Times New Roman"/>
          <w:sz w:val="24"/>
          <w:szCs w:val="24"/>
        </w:rPr>
        <w:tab/>
        <w:t>The civil war in Papua New Guinea centered around the secessionist movement of Bougainville, one of PNG’s several constituent islands. Secessionist forces in the Bougainville Revolutionary Army (BRA) were quickly able to overtake incumbent forces, and by March of 1990, PNG forces (and officials) retreated from the island</w:t>
      </w:r>
      <w:r w:rsidR="001E0DB1" w:rsidRPr="00F62BA4">
        <w:rPr>
          <w:rFonts w:ascii="Times New Roman" w:hAnsi="Times New Roman" w:cs="Times New Roman"/>
          <w:sz w:val="24"/>
          <w:szCs w:val="24"/>
        </w:rPr>
        <w:t>s</w:t>
      </w:r>
      <w:r w:rsidRPr="00F62BA4">
        <w:rPr>
          <w:rFonts w:ascii="Times New Roman" w:hAnsi="Times New Roman" w:cs="Times New Roman"/>
          <w:sz w:val="24"/>
          <w:szCs w:val="24"/>
        </w:rPr>
        <w:t>.</w:t>
      </w:r>
      <w:r w:rsidRPr="00F62BA4">
        <w:rPr>
          <w:rStyle w:val="FootnoteReference"/>
          <w:rFonts w:ascii="Times New Roman" w:hAnsi="Times New Roman" w:cs="Times New Roman"/>
          <w:sz w:val="24"/>
          <w:szCs w:val="24"/>
        </w:rPr>
        <w:footnoteReference w:id="365"/>
      </w:r>
      <w:r w:rsidRPr="00F62BA4">
        <w:rPr>
          <w:rFonts w:ascii="Times New Roman" w:hAnsi="Times New Roman" w:cs="Times New Roman"/>
          <w:sz w:val="24"/>
          <w:szCs w:val="24"/>
        </w:rPr>
        <w:t xml:space="preserve"> Thereafter, the Bougainville Interim Government (BIG) declared the island a new independent state. In spite of its rapid victory, little of PNG’s administrative apparatus remained, leaving BIG scrambling to administer its territory.</w:t>
      </w:r>
    </w:p>
    <w:p w:rsidR="00FC63AF" w:rsidRPr="00F62BA4" w:rsidRDefault="00A36DA4" w:rsidP="006D0328">
      <w:pPr>
        <w:rPr>
          <w:rFonts w:ascii="Times New Roman" w:hAnsi="Times New Roman" w:cs="Times New Roman"/>
          <w:sz w:val="24"/>
          <w:szCs w:val="24"/>
        </w:rPr>
      </w:pPr>
      <w:r w:rsidRPr="00F62BA4">
        <w:rPr>
          <w:rFonts w:ascii="Times New Roman" w:hAnsi="Times New Roman" w:cs="Times New Roman"/>
          <w:sz w:val="24"/>
          <w:szCs w:val="24"/>
        </w:rPr>
        <w:tab/>
        <w:t>Early failures in providing basic security led to dissention among the populace, as BRA cadres tasked with maintaining domestic security used their mandate as a means of acquiring wealth and settling scores.</w:t>
      </w:r>
      <w:r w:rsidRPr="00F62BA4">
        <w:rPr>
          <w:rStyle w:val="FootnoteReference"/>
          <w:rFonts w:ascii="Times New Roman" w:hAnsi="Times New Roman" w:cs="Times New Roman"/>
          <w:sz w:val="24"/>
          <w:szCs w:val="24"/>
        </w:rPr>
        <w:footnoteReference w:id="366"/>
      </w:r>
      <w:r w:rsidRPr="00F62BA4">
        <w:rPr>
          <w:rFonts w:ascii="Times New Roman" w:hAnsi="Times New Roman" w:cs="Times New Roman"/>
          <w:sz w:val="24"/>
          <w:szCs w:val="24"/>
        </w:rPr>
        <w:t xml:space="preserve"> Eventually, some cadres were employed by certain localities as effective domestic security, but it appears to have been done independently of the aloof BIG. In fact, by 1992 the PNG government began to covertly supply the BRA cadres which took on these security responsibilities. Unsurprisingly, this led to a shift in hostilities from BRA vs. PNG forces to BRA vs. repurposed BRA cadres.</w:t>
      </w:r>
      <w:r w:rsidRPr="00F62BA4">
        <w:rPr>
          <w:rStyle w:val="FootnoteReference"/>
          <w:rFonts w:ascii="Times New Roman" w:hAnsi="Times New Roman" w:cs="Times New Roman"/>
          <w:sz w:val="24"/>
          <w:szCs w:val="24"/>
        </w:rPr>
        <w:footnoteReference w:id="367"/>
      </w:r>
    </w:p>
    <w:p w:rsidR="002766CD" w:rsidRPr="00F62BA4" w:rsidRDefault="002766CD" w:rsidP="006D0328">
      <w:pPr>
        <w:rPr>
          <w:rFonts w:ascii="Times New Roman" w:hAnsi="Times New Roman" w:cs="Times New Roman"/>
          <w:sz w:val="24"/>
          <w:szCs w:val="24"/>
        </w:rPr>
      </w:pPr>
      <w:r w:rsidRPr="00F62BA4">
        <w:rPr>
          <w:rFonts w:ascii="Times New Roman" w:hAnsi="Times New Roman" w:cs="Times New Roman"/>
          <w:sz w:val="24"/>
          <w:szCs w:val="24"/>
        </w:rPr>
        <w:tab/>
      </w:r>
      <w:r w:rsidR="00C36801" w:rsidRPr="00F62BA4">
        <w:rPr>
          <w:rFonts w:ascii="Times New Roman" w:hAnsi="Times New Roman" w:cs="Times New Roman"/>
          <w:sz w:val="24"/>
          <w:szCs w:val="24"/>
        </w:rPr>
        <w:t>While order was clearly not forthcoming, law was another matter. While not entirely successful, BIG empowered local chiefs with substantial powers by creating a Council of Chiefs.</w:t>
      </w:r>
      <w:r w:rsidR="00C36801" w:rsidRPr="00F62BA4">
        <w:rPr>
          <w:rStyle w:val="FootnoteReference"/>
          <w:rFonts w:ascii="Times New Roman" w:hAnsi="Times New Roman" w:cs="Times New Roman"/>
          <w:sz w:val="24"/>
          <w:szCs w:val="24"/>
        </w:rPr>
        <w:footnoteReference w:id="368"/>
      </w:r>
      <w:r w:rsidR="00C36801" w:rsidRPr="00F62BA4">
        <w:rPr>
          <w:rFonts w:ascii="Times New Roman" w:hAnsi="Times New Roman" w:cs="Times New Roman"/>
          <w:sz w:val="24"/>
          <w:szCs w:val="24"/>
        </w:rPr>
        <w:t xml:space="preserve"> In addition to granting administrative powers, the council gave chiefs the responsibility to act as adjudicators in disputes. While the application of this ambitious project was wildly inconsistent due to predatory BRA cadres, it represents the most profound of BIG’s wartime administrative successes, such as they are.</w:t>
      </w:r>
    </w:p>
    <w:p w:rsidR="00A36DA4" w:rsidRPr="00F62BA4" w:rsidRDefault="00582B20" w:rsidP="006D0328">
      <w:pPr>
        <w:rPr>
          <w:rFonts w:ascii="Times New Roman" w:hAnsi="Times New Roman" w:cs="Times New Roman"/>
          <w:sz w:val="24"/>
          <w:szCs w:val="24"/>
        </w:rPr>
      </w:pPr>
      <w:r w:rsidRPr="00F62BA4">
        <w:rPr>
          <w:rFonts w:ascii="Times New Roman" w:hAnsi="Times New Roman" w:cs="Times New Roman"/>
          <w:sz w:val="24"/>
          <w:szCs w:val="24"/>
        </w:rPr>
        <w:lastRenderedPageBreak/>
        <w:tab/>
        <w:t>The dismantling of Bougainville’s administrative apparatus was intentional—even if BIG administered the island</w:t>
      </w:r>
      <w:r w:rsidR="001E0DB1" w:rsidRPr="00F62BA4">
        <w:rPr>
          <w:rFonts w:ascii="Times New Roman" w:hAnsi="Times New Roman" w:cs="Times New Roman"/>
          <w:sz w:val="24"/>
          <w:szCs w:val="24"/>
        </w:rPr>
        <w:t>s</w:t>
      </w:r>
      <w:r w:rsidRPr="00F62BA4">
        <w:rPr>
          <w:rFonts w:ascii="Times New Roman" w:hAnsi="Times New Roman" w:cs="Times New Roman"/>
          <w:sz w:val="24"/>
          <w:szCs w:val="24"/>
        </w:rPr>
        <w:t>, if it could not provide healthcare or education, popular support for independence would wither, so the thinking went.</w:t>
      </w:r>
      <w:r w:rsidRPr="00F62BA4">
        <w:rPr>
          <w:rStyle w:val="FootnoteReference"/>
          <w:rFonts w:ascii="Times New Roman" w:hAnsi="Times New Roman" w:cs="Times New Roman"/>
          <w:sz w:val="24"/>
          <w:szCs w:val="24"/>
        </w:rPr>
        <w:footnoteReference w:id="369"/>
      </w:r>
      <w:r w:rsidR="00E1073E" w:rsidRPr="00F62BA4">
        <w:rPr>
          <w:rFonts w:ascii="Times New Roman" w:hAnsi="Times New Roman" w:cs="Times New Roman"/>
          <w:sz w:val="24"/>
          <w:szCs w:val="24"/>
        </w:rPr>
        <w:t xml:space="preserve"> BIG focused more of its efforts on producing domestic security (which it failed to accomplish) so it is perhaps unsurprising that PNG’s boycott of goods and services successfully crippled their provision in Bougainville.</w:t>
      </w:r>
      <w:r w:rsidR="00E1073E" w:rsidRPr="00F62BA4">
        <w:rPr>
          <w:rStyle w:val="FootnoteReference"/>
          <w:rFonts w:ascii="Times New Roman" w:hAnsi="Times New Roman" w:cs="Times New Roman"/>
          <w:sz w:val="24"/>
          <w:szCs w:val="24"/>
        </w:rPr>
        <w:footnoteReference w:id="370"/>
      </w:r>
      <w:r w:rsidR="00C36801" w:rsidRPr="00F62BA4">
        <w:rPr>
          <w:rFonts w:ascii="Times New Roman" w:hAnsi="Times New Roman" w:cs="Times New Roman"/>
          <w:sz w:val="24"/>
          <w:szCs w:val="24"/>
        </w:rPr>
        <w:t xml:space="preserve"> Schools and hospitals were not merely neglected—most of them had been destroyed.</w:t>
      </w:r>
    </w:p>
    <w:p w:rsidR="00FC63AF" w:rsidRPr="00D9746E" w:rsidRDefault="00C36801" w:rsidP="00FC63AF">
      <w:pPr>
        <w:rPr>
          <w:rFonts w:ascii="Times New Roman" w:hAnsi="Times New Roman" w:cs="Times New Roman"/>
          <w:sz w:val="24"/>
          <w:szCs w:val="24"/>
        </w:rPr>
      </w:pPr>
      <w:r w:rsidRPr="00F62BA4">
        <w:rPr>
          <w:rFonts w:ascii="Times New Roman" w:hAnsi="Times New Roman" w:cs="Times New Roman"/>
          <w:sz w:val="24"/>
          <w:szCs w:val="24"/>
        </w:rPr>
        <w:tab/>
        <w:t>While BIG intended on ultimately holding elections,</w:t>
      </w:r>
      <w:r w:rsidR="002E3BB2" w:rsidRPr="00F62BA4">
        <w:rPr>
          <w:rStyle w:val="FootnoteReference"/>
          <w:rFonts w:ascii="Times New Roman" w:hAnsi="Times New Roman" w:cs="Times New Roman"/>
          <w:sz w:val="24"/>
          <w:szCs w:val="24"/>
        </w:rPr>
        <w:footnoteReference w:id="371"/>
      </w:r>
      <w:r w:rsidRPr="00F62BA4">
        <w:rPr>
          <w:rFonts w:ascii="Times New Roman" w:hAnsi="Times New Roman" w:cs="Times New Roman"/>
          <w:sz w:val="24"/>
          <w:szCs w:val="24"/>
        </w:rPr>
        <w:t xml:space="preserve"> these were not forthcoming during the conflict.</w:t>
      </w:r>
      <w:r w:rsidR="002E3BB2" w:rsidRPr="00F62BA4">
        <w:rPr>
          <w:rFonts w:ascii="Times New Roman" w:hAnsi="Times New Roman" w:cs="Times New Roman"/>
          <w:sz w:val="24"/>
          <w:szCs w:val="24"/>
        </w:rPr>
        <w:t xml:space="preserve"> Clashes between former comrades gave PNG forces a window of opportunity to return to the island and begin fighting the BRA directly. Elections did eventually come about, but not until well after the conflict.</w:t>
      </w:r>
      <w:r w:rsidR="002E3BB2" w:rsidRPr="00F62BA4">
        <w:rPr>
          <w:rStyle w:val="FootnoteReference"/>
          <w:rFonts w:ascii="Times New Roman" w:hAnsi="Times New Roman" w:cs="Times New Roman"/>
          <w:sz w:val="24"/>
          <w:szCs w:val="24"/>
        </w:rPr>
        <w:footnoteReference w:id="372"/>
      </w:r>
      <w:r w:rsidR="002E3BB2" w:rsidRPr="00F62BA4">
        <w:rPr>
          <w:rFonts w:ascii="Times New Roman" w:hAnsi="Times New Roman" w:cs="Times New Roman"/>
          <w:sz w:val="24"/>
          <w:szCs w:val="24"/>
        </w:rPr>
        <w:t xml:space="preserve"> Other than input from chiefs, BIG had no </w:t>
      </w:r>
      <w:r w:rsidR="005B1032">
        <w:rPr>
          <w:rFonts w:ascii="Times New Roman" w:hAnsi="Times New Roman" w:cs="Times New Roman"/>
          <w:sz w:val="24"/>
          <w:szCs w:val="24"/>
        </w:rPr>
        <w:t>consultative instruments</w:t>
      </w:r>
      <w:r w:rsidR="002E3BB2" w:rsidRPr="00F62BA4">
        <w:rPr>
          <w:rFonts w:ascii="Times New Roman" w:hAnsi="Times New Roman" w:cs="Times New Roman"/>
          <w:sz w:val="24"/>
          <w:szCs w:val="24"/>
        </w:rPr>
        <w:t xml:space="preserve"> to speak of.</w:t>
      </w:r>
    </w:p>
    <w:p w:rsidR="00FC63AF" w:rsidRPr="00F62BA4" w:rsidRDefault="00D45C69" w:rsidP="006D0328">
      <w:pPr>
        <w:rPr>
          <w:rFonts w:ascii="Times New Roman" w:hAnsi="Times New Roman" w:cs="Times New Roman"/>
          <w:b/>
          <w:sz w:val="24"/>
          <w:szCs w:val="24"/>
        </w:rPr>
      </w:pPr>
      <w:r w:rsidRPr="00F62BA4">
        <w:rPr>
          <w:rFonts w:ascii="Times New Roman" w:hAnsi="Times New Roman" w:cs="Times New Roman"/>
          <w:b/>
          <w:sz w:val="24"/>
          <w:szCs w:val="24"/>
        </w:rPr>
        <w:t>Peru (1980-1997)</w:t>
      </w:r>
    </w:p>
    <w:p w:rsidR="00FC63AF" w:rsidRDefault="00D45C69" w:rsidP="006D0328">
      <w:pPr>
        <w:rPr>
          <w:rFonts w:ascii="Times New Roman" w:hAnsi="Times New Roman" w:cs="Times New Roman"/>
          <w:sz w:val="24"/>
          <w:szCs w:val="24"/>
        </w:rPr>
      </w:pPr>
      <w:r w:rsidRPr="00F62BA4">
        <w:rPr>
          <w:rFonts w:ascii="Times New Roman" w:hAnsi="Times New Roman" w:cs="Times New Roman"/>
          <w:sz w:val="24"/>
          <w:szCs w:val="24"/>
        </w:rPr>
        <w:t>Rebels / Incumbents: Sendero Luminoso (SL; Shining Path) / Peru</w:t>
      </w:r>
    </w:p>
    <w:p w:rsidR="00D9746E" w:rsidRPr="00D9746E"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w:t>
      </w:r>
      <w:r w:rsidR="005605B7">
        <w:rPr>
          <w:rFonts w:ascii="Times New Roman" w:hAnsi="Times New Roman" w:cs="Times New Roman"/>
          <w:b/>
          <w:sz w:val="24"/>
          <w:szCs w:val="24"/>
        </w:rPr>
        <w:t>2</w:t>
      </w:r>
      <w:r w:rsidR="00D9746E" w:rsidRPr="00F62BA4">
        <w:rPr>
          <w:rFonts w:ascii="Times New Roman" w:hAnsi="Times New Roman" w:cs="Times New Roman"/>
          <w:b/>
          <w:sz w:val="24"/>
          <w:szCs w:val="24"/>
        </w:rPr>
        <w:t xml:space="preserve">; Public Goods: </w:t>
      </w:r>
      <w:r w:rsidR="00A016F4">
        <w:rPr>
          <w:rFonts w:ascii="Times New Roman" w:hAnsi="Times New Roman" w:cs="Times New Roman"/>
          <w:b/>
          <w:sz w:val="24"/>
          <w:szCs w:val="24"/>
        </w:rPr>
        <w:t>2</w:t>
      </w:r>
      <w:r w:rsidR="00D9746E"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xml:space="preserve">: </w:t>
      </w:r>
      <w:r w:rsidR="00D9746E">
        <w:rPr>
          <w:rFonts w:ascii="Times New Roman" w:hAnsi="Times New Roman" w:cs="Times New Roman"/>
          <w:b/>
          <w:sz w:val="24"/>
          <w:szCs w:val="24"/>
        </w:rPr>
        <w:t>2</w:t>
      </w:r>
    </w:p>
    <w:p w:rsidR="00005872" w:rsidRDefault="00005872" w:rsidP="006D0328">
      <w:pPr>
        <w:rPr>
          <w:rFonts w:ascii="Times New Roman" w:hAnsi="Times New Roman" w:cs="Times New Roman"/>
          <w:sz w:val="24"/>
          <w:szCs w:val="24"/>
        </w:rPr>
      </w:pPr>
      <w:r>
        <w:rPr>
          <w:rFonts w:ascii="Times New Roman" w:hAnsi="Times New Roman" w:cs="Times New Roman"/>
          <w:sz w:val="24"/>
          <w:szCs w:val="24"/>
        </w:rPr>
        <w:tab/>
        <w:t>SL began its civil war against the Peruvian state just as that state had begun to institute land reforms similar to those which El Salvador’s FMLN had supported.</w:t>
      </w:r>
      <w:r>
        <w:rPr>
          <w:rStyle w:val="FootnoteReference"/>
          <w:rFonts w:ascii="Times New Roman" w:hAnsi="Times New Roman" w:cs="Times New Roman"/>
          <w:sz w:val="24"/>
          <w:szCs w:val="24"/>
        </w:rPr>
        <w:footnoteReference w:id="373"/>
      </w:r>
      <w:r>
        <w:rPr>
          <w:rFonts w:ascii="Times New Roman" w:hAnsi="Times New Roman" w:cs="Times New Roman"/>
          <w:sz w:val="24"/>
          <w:szCs w:val="24"/>
        </w:rPr>
        <w:t xml:space="preserve"> Whether because of the lack of impact the reforms had in the regions from which SL had sprung or because SL’s founders sensed weakness in the state is immaterial. What matters is that the civil war which followed was profoundly brutal and long. During the course of the conflict, SL had established fairly extensive zones of control which it administered enthusiastically (and bloodily).</w:t>
      </w:r>
    </w:p>
    <w:p w:rsidR="00814BBF" w:rsidRDefault="00DA46CB" w:rsidP="00005872">
      <w:pPr>
        <w:ind w:firstLine="720"/>
        <w:rPr>
          <w:rFonts w:ascii="Times New Roman" w:hAnsi="Times New Roman" w:cs="Times New Roman"/>
          <w:sz w:val="24"/>
          <w:szCs w:val="24"/>
        </w:rPr>
      </w:pPr>
      <w:r w:rsidRPr="00F62BA4">
        <w:rPr>
          <w:rFonts w:ascii="Times New Roman" w:hAnsi="Times New Roman" w:cs="Times New Roman"/>
          <w:sz w:val="24"/>
          <w:szCs w:val="24"/>
        </w:rPr>
        <w:t>In spit</w:t>
      </w:r>
      <w:r w:rsidR="00494222">
        <w:rPr>
          <w:rFonts w:ascii="Times New Roman" w:hAnsi="Times New Roman" w:cs="Times New Roman"/>
          <w:sz w:val="24"/>
          <w:szCs w:val="24"/>
        </w:rPr>
        <w:t>e of its profound brutality and the damage this brutality did to its popularity, SL took pains to establish instruments of rebel governance, especially education.</w:t>
      </w:r>
      <w:r w:rsidR="00494222">
        <w:rPr>
          <w:rStyle w:val="FootnoteReference"/>
          <w:rFonts w:ascii="Times New Roman" w:hAnsi="Times New Roman" w:cs="Times New Roman"/>
          <w:sz w:val="24"/>
          <w:szCs w:val="24"/>
        </w:rPr>
        <w:footnoteReference w:id="374"/>
      </w:r>
      <w:r w:rsidR="00005872">
        <w:rPr>
          <w:rFonts w:ascii="Times New Roman" w:hAnsi="Times New Roman" w:cs="Times New Roman"/>
          <w:sz w:val="24"/>
          <w:szCs w:val="24"/>
        </w:rPr>
        <w:t xml:space="preserve"> Indeed, one of the first manifestations of SL as a political entity was educational. Although that education was ideological, the provision of basic education was part and parcel to SL’s agenda.</w:t>
      </w:r>
      <w:r w:rsidR="00005872">
        <w:rPr>
          <w:rStyle w:val="FootnoteReference"/>
          <w:rFonts w:ascii="Times New Roman" w:hAnsi="Times New Roman" w:cs="Times New Roman"/>
          <w:sz w:val="24"/>
          <w:szCs w:val="24"/>
        </w:rPr>
        <w:footnoteReference w:id="375"/>
      </w:r>
      <w:r w:rsidR="00005872">
        <w:rPr>
          <w:rFonts w:ascii="Times New Roman" w:hAnsi="Times New Roman" w:cs="Times New Roman"/>
          <w:sz w:val="24"/>
          <w:szCs w:val="24"/>
        </w:rPr>
        <w:t xml:space="preserve"> SL also established a clearly defined political role for subject populations in governing themselves—the group established</w:t>
      </w:r>
      <w:r w:rsidR="0093058B">
        <w:rPr>
          <w:rFonts w:ascii="Times New Roman" w:hAnsi="Times New Roman" w:cs="Times New Roman"/>
          <w:sz w:val="24"/>
          <w:szCs w:val="24"/>
        </w:rPr>
        <w:t xml:space="preserve"> Open</w:t>
      </w:r>
      <w:r w:rsidR="00005872">
        <w:rPr>
          <w:rFonts w:ascii="Times New Roman" w:hAnsi="Times New Roman" w:cs="Times New Roman"/>
          <w:sz w:val="24"/>
          <w:szCs w:val="24"/>
        </w:rPr>
        <w:t xml:space="preserve"> People’s Comm</w:t>
      </w:r>
      <w:r w:rsidR="001D2E94">
        <w:rPr>
          <w:rFonts w:ascii="Times New Roman" w:hAnsi="Times New Roman" w:cs="Times New Roman"/>
          <w:sz w:val="24"/>
          <w:szCs w:val="24"/>
        </w:rPr>
        <w:t xml:space="preserve">ittees composed </w:t>
      </w:r>
      <w:r w:rsidR="0093058B">
        <w:rPr>
          <w:rFonts w:ascii="Times New Roman" w:hAnsi="Times New Roman" w:cs="Times New Roman"/>
          <w:sz w:val="24"/>
          <w:szCs w:val="24"/>
        </w:rPr>
        <w:t>entirel</w:t>
      </w:r>
      <w:r w:rsidR="001D2E94">
        <w:rPr>
          <w:rFonts w:ascii="Times New Roman" w:hAnsi="Times New Roman" w:cs="Times New Roman"/>
          <w:sz w:val="24"/>
          <w:szCs w:val="24"/>
        </w:rPr>
        <w:t>y of civilian</w:t>
      </w:r>
      <w:r w:rsidR="0093058B">
        <w:rPr>
          <w:rFonts w:ascii="Times New Roman" w:hAnsi="Times New Roman" w:cs="Times New Roman"/>
          <w:sz w:val="24"/>
          <w:szCs w:val="24"/>
        </w:rPr>
        <w:t xml:space="preserve">s </w:t>
      </w:r>
      <w:r w:rsidR="001D2E94">
        <w:rPr>
          <w:rFonts w:ascii="Times New Roman" w:hAnsi="Times New Roman" w:cs="Times New Roman"/>
          <w:sz w:val="24"/>
          <w:szCs w:val="24"/>
        </w:rPr>
        <w:t>to administer</w:t>
      </w:r>
      <w:r w:rsidR="0093058B">
        <w:rPr>
          <w:rFonts w:ascii="Times New Roman" w:hAnsi="Times New Roman" w:cs="Times New Roman"/>
          <w:sz w:val="24"/>
          <w:szCs w:val="24"/>
        </w:rPr>
        <w:t xml:space="preserve"> their own</w:t>
      </w:r>
      <w:r w:rsidR="001D2E94">
        <w:rPr>
          <w:rFonts w:ascii="Times New Roman" w:hAnsi="Times New Roman" w:cs="Times New Roman"/>
          <w:sz w:val="24"/>
          <w:szCs w:val="24"/>
        </w:rPr>
        <w:t xml:space="preserve"> towns and villages</w:t>
      </w:r>
      <w:r w:rsidR="0093058B">
        <w:rPr>
          <w:rFonts w:ascii="Times New Roman" w:hAnsi="Times New Roman" w:cs="Times New Roman"/>
          <w:sz w:val="24"/>
          <w:szCs w:val="24"/>
        </w:rPr>
        <w:t xml:space="preserve"> in which the members’ “[p]articipation involved exercising leadership and authority.”</w:t>
      </w:r>
      <w:r w:rsidR="0093058B">
        <w:rPr>
          <w:rStyle w:val="FootnoteReference"/>
          <w:rFonts w:ascii="Times New Roman" w:hAnsi="Times New Roman" w:cs="Times New Roman"/>
          <w:sz w:val="24"/>
          <w:szCs w:val="24"/>
        </w:rPr>
        <w:footnoteReference w:id="376"/>
      </w:r>
      <w:r w:rsidR="0093058B">
        <w:rPr>
          <w:rFonts w:ascii="Times New Roman" w:hAnsi="Times New Roman" w:cs="Times New Roman"/>
          <w:sz w:val="24"/>
          <w:szCs w:val="24"/>
        </w:rPr>
        <w:t xml:space="preserve"> These People’s Committees</w:t>
      </w:r>
      <w:r w:rsidR="00814BBF">
        <w:rPr>
          <w:rFonts w:ascii="Times New Roman" w:hAnsi="Times New Roman" w:cs="Times New Roman"/>
          <w:sz w:val="24"/>
          <w:szCs w:val="24"/>
        </w:rPr>
        <w:t xml:space="preserve"> consist</w:t>
      </w:r>
      <w:r w:rsidR="0093058B">
        <w:rPr>
          <w:rFonts w:ascii="Times New Roman" w:hAnsi="Times New Roman" w:cs="Times New Roman"/>
          <w:sz w:val="24"/>
          <w:szCs w:val="24"/>
        </w:rPr>
        <w:t>ed</w:t>
      </w:r>
      <w:r w:rsidR="00814BBF">
        <w:rPr>
          <w:rFonts w:ascii="Times New Roman" w:hAnsi="Times New Roman" w:cs="Times New Roman"/>
          <w:sz w:val="24"/>
          <w:szCs w:val="24"/>
        </w:rPr>
        <w:t xml:space="preserve"> of five functionally defined commissars</w:t>
      </w:r>
      <w:r w:rsidR="001D2E94">
        <w:rPr>
          <w:rFonts w:ascii="Times New Roman" w:hAnsi="Times New Roman" w:cs="Times New Roman"/>
          <w:sz w:val="24"/>
          <w:szCs w:val="24"/>
        </w:rPr>
        <w:t>.</w:t>
      </w:r>
      <w:r w:rsidR="00814BBF">
        <w:rPr>
          <w:rFonts w:ascii="Times New Roman" w:hAnsi="Times New Roman" w:cs="Times New Roman"/>
          <w:sz w:val="24"/>
          <w:szCs w:val="24"/>
        </w:rPr>
        <w:t xml:space="preserve"> </w:t>
      </w:r>
      <w:r w:rsidR="00814BBF">
        <w:rPr>
          <w:rFonts w:ascii="Times New Roman" w:hAnsi="Times New Roman" w:cs="Times New Roman"/>
          <w:sz w:val="24"/>
          <w:szCs w:val="24"/>
        </w:rPr>
        <w:lastRenderedPageBreak/>
        <w:t>These included a committee secretary, security commissar, a production commissar, a commissar of communal affairs, and a commissar in charge of people’s organizations.</w:t>
      </w:r>
      <w:r w:rsidR="00814BBF">
        <w:rPr>
          <w:rStyle w:val="FootnoteReference"/>
          <w:rFonts w:ascii="Times New Roman" w:hAnsi="Times New Roman" w:cs="Times New Roman"/>
          <w:sz w:val="24"/>
          <w:szCs w:val="24"/>
        </w:rPr>
        <w:footnoteReference w:id="377"/>
      </w:r>
    </w:p>
    <w:p w:rsidR="00814BBF" w:rsidRDefault="00814BBF" w:rsidP="00005872">
      <w:pPr>
        <w:ind w:firstLine="720"/>
        <w:rPr>
          <w:rFonts w:ascii="Times New Roman" w:hAnsi="Times New Roman" w:cs="Times New Roman"/>
          <w:sz w:val="24"/>
          <w:szCs w:val="24"/>
        </w:rPr>
      </w:pPr>
      <w:r>
        <w:rPr>
          <w:rFonts w:ascii="Times New Roman" w:hAnsi="Times New Roman" w:cs="Times New Roman"/>
          <w:sz w:val="24"/>
          <w:szCs w:val="24"/>
        </w:rPr>
        <w:t>Public goods were provided by the communal affairs commissar</w:t>
      </w:r>
      <w:r w:rsidR="008879DF">
        <w:rPr>
          <w:rFonts w:ascii="Times New Roman" w:hAnsi="Times New Roman" w:cs="Times New Roman"/>
          <w:sz w:val="24"/>
          <w:szCs w:val="24"/>
        </w:rPr>
        <w:t>.</w:t>
      </w:r>
      <w:r>
        <w:rPr>
          <w:rFonts w:ascii="Times New Roman" w:hAnsi="Times New Roman" w:cs="Times New Roman"/>
          <w:sz w:val="24"/>
          <w:szCs w:val="24"/>
        </w:rPr>
        <w:t xml:space="preserve"> </w:t>
      </w:r>
      <w:r w:rsidR="008879DF">
        <w:rPr>
          <w:rFonts w:ascii="Times New Roman" w:hAnsi="Times New Roman" w:cs="Times New Roman"/>
          <w:sz w:val="24"/>
          <w:szCs w:val="24"/>
        </w:rPr>
        <w:t>W</w:t>
      </w:r>
      <w:r>
        <w:rPr>
          <w:rFonts w:ascii="Times New Roman" w:hAnsi="Times New Roman" w:cs="Times New Roman"/>
          <w:sz w:val="24"/>
          <w:szCs w:val="24"/>
        </w:rPr>
        <w:t>hile</w:t>
      </w:r>
      <w:r w:rsidR="008879DF">
        <w:rPr>
          <w:rFonts w:ascii="Times New Roman" w:hAnsi="Times New Roman" w:cs="Times New Roman"/>
          <w:sz w:val="24"/>
          <w:szCs w:val="24"/>
        </w:rPr>
        <w:t xml:space="preserve"> efforts to establish a system of</w:t>
      </w:r>
      <w:r>
        <w:rPr>
          <w:rFonts w:ascii="Times New Roman" w:hAnsi="Times New Roman" w:cs="Times New Roman"/>
          <w:sz w:val="24"/>
          <w:szCs w:val="24"/>
        </w:rPr>
        <w:t xml:space="preserve"> education was largely successful, medical provision was</w:t>
      </w:r>
      <w:r w:rsidR="008879DF">
        <w:rPr>
          <w:rFonts w:ascii="Times New Roman" w:hAnsi="Times New Roman" w:cs="Times New Roman"/>
          <w:sz w:val="24"/>
          <w:szCs w:val="24"/>
        </w:rPr>
        <w:t xml:space="preserve"> somewhat</w:t>
      </w:r>
      <w:r>
        <w:rPr>
          <w:rFonts w:ascii="Times New Roman" w:hAnsi="Times New Roman" w:cs="Times New Roman"/>
          <w:sz w:val="24"/>
          <w:szCs w:val="24"/>
        </w:rPr>
        <w:t xml:space="preserve"> less impressive. It primarily relied upon medicine </w:t>
      </w:r>
      <w:r w:rsidR="008879DF">
        <w:rPr>
          <w:rFonts w:ascii="Times New Roman" w:hAnsi="Times New Roman" w:cs="Times New Roman"/>
          <w:sz w:val="24"/>
          <w:szCs w:val="24"/>
        </w:rPr>
        <w:t>raided from local hospitals or traditional herbal remedies.</w:t>
      </w:r>
      <w:r w:rsidR="008879DF">
        <w:rPr>
          <w:rStyle w:val="FootnoteReference"/>
          <w:rFonts w:ascii="Times New Roman" w:hAnsi="Times New Roman" w:cs="Times New Roman"/>
          <w:sz w:val="24"/>
          <w:szCs w:val="24"/>
        </w:rPr>
        <w:footnoteReference w:id="378"/>
      </w:r>
      <w:r w:rsidR="008879DF">
        <w:rPr>
          <w:rFonts w:ascii="Times New Roman" w:hAnsi="Times New Roman" w:cs="Times New Roman"/>
          <w:sz w:val="24"/>
          <w:szCs w:val="24"/>
        </w:rPr>
        <w:t xml:space="preserve"> With that said, McClintock notes that SL’s efforts were more impressive in the realm of material benefits than the FMLN,</w:t>
      </w:r>
      <w:r w:rsidR="008879DF">
        <w:rPr>
          <w:rStyle w:val="FootnoteReference"/>
          <w:rFonts w:ascii="Times New Roman" w:hAnsi="Times New Roman" w:cs="Times New Roman"/>
          <w:sz w:val="24"/>
          <w:szCs w:val="24"/>
        </w:rPr>
        <w:footnoteReference w:id="379"/>
      </w:r>
      <w:r w:rsidR="008879DF">
        <w:rPr>
          <w:rFonts w:ascii="Times New Roman" w:hAnsi="Times New Roman" w:cs="Times New Roman"/>
          <w:sz w:val="24"/>
          <w:szCs w:val="24"/>
        </w:rPr>
        <w:t xml:space="preserve"> and the state’s healthcare provision during the conflict was not particularly inspiring, either.</w:t>
      </w:r>
      <w:r w:rsidR="008879DF">
        <w:rPr>
          <w:rStyle w:val="FootnoteReference"/>
          <w:rFonts w:ascii="Times New Roman" w:hAnsi="Times New Roman" w:cs="Times New Roman"/>
          <w:sz w:val="24"/>
          <w:szCs w:val="24"/>
        </w:rPr>
        <w:footnoteReference w:id="380"/>
      </w:r>
      <w:r w:rsidR="008879DF">
        <w:rPr>
          <w:rFonts w:ascii="Times New Roman" w:hAnsi="Times New Roman" w:cs="Times New Roman"/>
          <w:sz w:val="24"/>
          <w:szCs w:val="24"/>
        </w:rPr>
        <w:t xml:space="preserve"> </w:t>
      </w:r>
    </w:p>
    <w:p w:rsidR="001D2E94" w:rsidRDefault="005605B7" w:rsidP="00A016F4">
      <w:pPr>
        <w:ind w:firstLine="720"/>
        <w:rPr>
          <w:rFonts w:ascii="Times New Roman" w:hAnsi="Times New Roman" w:cs="Times New Roman"/>
          <w:sz w:val="24"/>
          <w:szCs w:val="24"/>
        </w:rPr>
      </w:pPr>
      <w:r>
        <w:rPr>
          <w:rFonts w:ascii="Times New Roman" w:hAnsi="Times New Roman" w:cs="Times New Roman"/>
          <w:sz w:val="24"/>
          <w:szCs w:val="24"/>
        </w:rPr>
        <w:t>SL’s attempts at providing policing and juridical functions were generally successful, even though the latter was more prevalent than the former</w:t>
      </w:r>
      <w:r w:rsidR="00B11BCA">
        <w:rPr>
          <w:rFonts w:ascii="Times New Roman" w:hAnsi="Times New Roman" w:cs="Times New Roman"/>
          <w:sz w:val="24"/>
          <w:szCs w:val="24"/>
        </w:rPr>
        <w:t>. For instance, aside from targeted assassinations,</w:t>
      </w:r>
      <w:r w:rsidR="00B11BCA" w:rsidRPr="00B11BCA">
        <w:rPr>
          <w:rStyle w:val="FootnoteReference"/>
          <w:rFonts w:ascii="Times New Roman" w:hAnsi="Times New Roman" w:cs="Times New Roman"/>
          <w:sz w:val="24"/>
          <w:szCs w:val="24"/>
        </w:rPr>
        <w:t xml:space="preserve"> </w:t>
      </w:r>
      <w:r w:rsidR="00B11BCA">
        <w:rPr>
          <w:rStyle w:val="FootnoteReference"/>
          <w:rFonts w:ascii="Times New Roman" w:hAnsi="Times New Roman" w:cs="Times New Roman"/>
          <w:sz w:val="24"/>
          <w:szCs w:val="24"/>
        </w:rPr>
        <w:footnoteReference w:id="381"/>
      </w:r>
      <w:r w:rsidR="00B11BCA">
        <w:rPr>
          <w:rFonts w:ascii="Times New Roman" w:hAnsi="Times New Roman" w:cs="Times New Roman"/>
          <w:sz w:val="24"/>
          <w:szCs w:val="24"/>
        </w:rPr>
        <w:t xml:space="preserve"> there appear</w:t>
      </w:r>
      <w:r>
        <w:rPr>
          <w:rFonts w:ascii="Times New Roman" w:hAnsi="Times New Roman" w:cs="Times New Roman"/>
          <w:sz w:val="24"/>
          <w:szCs w:val="24"/>
        </w:rPr>
        <w:t>s</w:t>
      </w:r>
      <w:r w:rsidR="00B11BCA">
        <w:rPr>
          <w:rFonts w:ascii="Times New Roman" w:hAnsi="Times New Roman" w:cs="Times New Roman"/>
          <w:sz w:val="24"/>
          <w:szCs w:val="24"/>
        </w:rPr>
        <w:t xml:space="preserve"> to have been</w:t>
      </w:r>
      <w:r>
        <w:rPr>
          <w:rFonts w:ascii="Times New Roman" w:hAnsi="Times New Roman" w:cs="Times New Roman"/>
          <w:sz w:val="24"/>
          <w:szCs w:val="24"/>
        </w:rPr>
        <w:t xml:space="preserve"> few</w:t>
      </w:r>
      <w:r w:rsidR="00B11BCA">
        <w:rPr>
          <w:rFonts w:ascii="Times New Roman" w:hAnsi="Times New Roman" w:cs="Times New Roman"/>
          <w:sz w:val="24"/>
          <w:szCs w:val="24"/>
        </w:rPr>
        <w:t xml:space="preserve"> instrument</w:t>
      </w:r>
      <w:r w:rsidR="00A016F4">
        <w:rPr>
          <w:rFonts w:ascii="Times New Roman" w:hAnsi="Times New Roman" w:cs="Times New Roman"/>
          <w:sz w:val="24"/>
          <w:szCs w:val="24"/>
        </w:rPr>
        <w:t>s</w:t>
      </w:r>
      <w:r w:rsidR="00B11BCA">
        <w:rPr>
          <w:rFonts w:ascii="Times New Roman" w:hAnsi="Times New Roman" w:cs="Times New Roman"/>
          <w:sz w:val="24"/>
          <w:szCs w:val="24"/>
        </w:rPr>
        <w:t xml:space="preserve"> of policing</w:t>
      </w:r>
      <w:r w:rsidR="00A016F4">
        <w:rPr>
          <w:rFonts w:ascii="Times New Roman" w:hAnsi="Times New Roman" w:cs="Times New Roman"/>
          <w:sz w:val="24"/>
          <w:szCs w:val="24"/>
        </w:rPr>
        <w:t>,</w:t>
      </w:r>
      <w:r w:rsidR="00B11BCA">
        <w:rPr>
          <w:rStyle w:val="FootnoteReference"/>
          <w:rFonts w:ascii="Times New Roman" w:hAnsi="Times New Roman" w:cs="Times New Roman"/>
          <w:sz w:val="24"/>
          <w:szCs w:val="24"/>
        </w:rPr>
        <w:footnoteReference w:id="382"/>
      </w:r>
      <w:r w:rsidR="00A016F4">
        <w:rPr>
          <w:rFonts w:ascii="Times New Roman" w:hAnsi="Times New Roman" w:cs="Times New Roman"/>
          <w:sz w:val="24"/>
          <w:szCs w:val="24"/>
        </w:rPr>
        <w:t xml:space="preserve"> even though the security commissar was placed in charge of internal security in addition to coordinating military activities.</w:t>
      </w:r>
      <w:r w:rsidR="00A016F4">
        <w:rPr>
          <w:rStyle w:val="FootnoteReference"/>
          <w:rFonts w:ascii="Times New Roman" w:hAnsi="Times New Roman" w:cs="Times New Roman"/>
          <w:sz w:val="24"/>
          <w:szCs w:val="24"/>
        </w:rPr>
        <w:footnoteReference w:id="383"/>
      </w:r>
      <w:r>
        <w:rPr>
          <w:rFonts w:ascii="Times New Roman" w:hAnsi="Times New Roman" w:cs="Times New Roman"/>
          <w:sz w:val="24"/>
          <w:szCs w:val="24"/>
        </w:rPr>
        <w:t xml:space="preserve"> SL members did issue warnings to individuals who were seen to break the group’s behavioral mandates, with repeat or serious offenders often executed by beheading.</w:t>
      </w:r>
      <w:r>
        <w:rPr>
          <w:rStyle w:val="FootnoteReference"/>
          <w:rFonts w:ascii="Times New Roman" w:hAnsi="Times New Roman" w:cs="Times New Roman"/>
          <w:sz w:val="24"/>
          <w:szCs w:val="24"/>
        </w:rPr>
        <w:footnoteReference w:id="384"/>
      </w:r>
      <w:r w:rsidR="00A016F4">
        <w:rPr>
          <w:rFonts w:ascii="Times New Roman" w:hAnsi="Times New Roman" w:cs="Times New Roman"/>
          <w:sz w:val="24"/>
          <w:szCs w:val="24"/>
        </w:rPr>
        <w:t xml:space="preserve"> SL</w:t>
      </w:r>
      <w:r>
        <w:rPr>
          <w:rFonts w:ascii="Times New Roman" w:hAnsi="Times New Roman" w:cs="Times New Roman"/>
          <w:sz w:val="24"/>
          <w:szCs w:val="24"/>
        </w:rPr>
        <w:t>’s</w:t>
      </w:r>
      <w:r w:rsidR="00A016F4">
        <w:rPr>
          <w:rFonts w:ascii="Times New Roman" w:hAnsi="Times New Roman" w:cs="Times New Roman"/>
          <w:sz w:val="24"/>
          <w:szCs w:val="24"/>
        </w:rPr>
        <w:t xml:space="preserve"> juridical functions</w:t>
      </w:r>
      <w:r>
        <w:rPr>
          <w:rFonts w:ascii="Times New Roman" w:hAnsi="Times New Roman" w:cs="Times New Roman"/>
          <w:sz w:val="24"/>
          <w:szCs w:val="24"/>
        </w:rPr>
        <w:t xml:space="preserve"> were more prevalent</w:t>
      </w:r>
      <w:r w:rsidR="00A016F4">
        <w:rPr>
          <w:rFonts w:ascii="Times New Roman" w:hAnsi="Times New Roman" w:cs="Times New Roman"/>
          <w:sz w:val="24"/>
          <w:szCs w:val="24"/>
        </w:rPr>
        <w:t>.</w:t>
      </w:r>
      <w:r w:rsidR="00A016F4">
        <w:rPr>
          <w:rStyle w:val="FootnoteReference"/>
          <w:rFonts w:ascii="Times New Roman" w:hAnsi="Times New Roman" w:cs="Times New Roman"/>
          <w:sz w:val="24"/>
          <w:szCs w:val="24"/>
        </w:rPr>
        <w:footnoteReference w:id="385"/>
      </w:r>
      <w:r w:rsidR="00C74C5A">
        <w:rPr>
          <w:rFonts w:ascii="Times New Roman" w:hAnsi="Times New Roman" w:cs="Times New Roman"/>
          <w:sz w:val="24"/>
          <w:szCs w:val="24"/>
        </w:rPr>
        <w:t xml:space="preserve"> </w:t>
      </w:r>
      <w:r w:rsidR="00A016F4">
        <w:rPr>
          <w:rFonts w:ascii="Times New Roman" w:hAnsi="Times New Roman" w:cs="Times New Roman"/>
          <w:sz w:val="24"/>
          <w:szCs w:val="24"/>
        </w:rPr>
        <w:t>The commissar of communal affairs handled marriages and divorces, while a popular “damages committee” handled grievances among civilians.</w:t>
      </w:r>
      <w:r w:rsidR="00A016F4">
        <w:rPr>
          <w:rStyle w:val="FootnoteReference"/>
          <w:rFonts w:ascii="Times New Roman" w:hAnsi="Times New Roman" w:cs="Times New Roman"/>
          <w:sz w:val="24"/>
          <w:szCs w:val="24"/>
        </w:rPr>
        <w:footnoteReference w:id="386"/>
      </w:r>
      <w:r>
        <w:rPr>
          <w:rFonts w:ascii="Times New Roman" w:hAnsi="Times New Roman" w:cs="Times New Roman"/>
          <w:sz w:val="24"/>
          <w:szCs w:val="24"/>
        </w:rPr>
        <w:t xml:space="preserve"> There were also reports of “people’s trials” in which members of the community could speak on behalf of the accused (if they dared). There were some reports that service in a guerilla column could earn someone absolution.</w:t>
      </w:r>
      <w:r>
        <w:rPr>
          <w:rStyle w:val="FootnoteReference"/>
          <w:rFonts w:ascii="Times New Roman" w:hAnsi="Times New Roman" w:cs="Times New Roman"/>
          <w:sz w:val="24"/>
          <w:szCs w:val="24"/>
        </w:rPr>
        <w:footnoteReference w:id="387"/>
      </w:r>
    </w:p>
    <w:p w:rsidR="006E7868" w:rsidRPr="00F62BA4" w:rsidRDefault="006E7868" w:rsidP="002E3A01">
      <w:pPr>
        <w:ind w:firstLine="720"/>
        <w:rPr>
          <w:rFonts w:ascii="Times New Roman" w:hAnsi="Times New Roman" w:cs="Times New Roman"/>
          <w:sz w:val="24"/>
          <w:szCs w:val="24"/>
        </w:rPr>
      </w:pPr>
      <w:r>
        <w:rPr>
          <w:rFonts w:ascii="Times New Roman" w:hAnsi="Times New Roman" w:cs="Times New Roman"/>
          <w:sz w:val="24"/>
          <w:szCs w:val="24"/>
        </w:rPr>
        <w:t>The group’s consultative instruments were more impressive still. In addition to popular participation in these local policymaking and enforc</w:t>
      </w:r>
      <w:r w:rsidR="004268B8">
        <w:rPr>
          <w:rFonts w:ascii="Times New Roman" w:hAnsi="Times New Roman" w:cs="Times New Roman"/>
          <w:sz w:val="24"/>
          <w:szCs w:val="24"/>
        </w:rPr>
        <w:t>ement</w:t>
      </w:r>
      <w:r>
        <w:rPr>
          <w:rFonts w:ascii="Times New Roman" w:hAnsi="Times New Roman" w:cs="Times New Roman"/>
          <w:sz w:val="24"/>
          <w:szCs w:val="24"/>
        </w:rPr>
        <w:t xml:space="preserve"> instruments, the fifth commissar’s duties included organizing popular political activities.</w:t>
      </w:r>
      <w:r w:rsidR="00A5584F">
        <w:rPr>
          <w:rFonts w:ascii="Times New Roman" w:hAnsi="Times New Roman" w:cs="Times New Roman"/>
          <w:sz w:val="24"/>
          <w:szCs w:val="24"/>
        </w:rPr>
        <w:t xml:space="preserve"> For instance, delegates from the people’s organizations in a given village for a people’s assembly which in turn elects a people’s committee </w:t>
      </w:r>
      <w:r w:rsidR="002E3A01">
        <w:rPr>
          <w:rFonts w:ascii="Times New Roman" w:hAnsi="Times New Roman" w:cs="Times New Roman"/>
          <w:sz w:val="24"/>
          <w:szCs w:val="24"/>
        </w:rPr>
        <w:t>commissar.</w:t>
      </w:r>
      <w:r w:rsidR="002E3A01">
        <w:rPr>
          <w:rStyle w:val="FootnoteReference"/>
          <w:rFonts w:ascii="Times New Roman" w:hAnsi="Times New Roman" w:cs="Times New Roman"/>
          <w:sz w:val="24"/>
          <w:szCs w:val="24"/>
        </w:rPr>
        <w:footnoteReference w:id="388"/>
      </w:r>
      <w:r w:rsidR="002E3A01">
        <w:rPr>
          <w:rFonts w:ascii="Times New Roman" w:hAnsi="Times New Roman" w:cs="Times New Roman"/>
          <w:sz w:val="24"/>
          <w:szCs w:val="24"/>
        </w:rPr>
        <w:t xml:space="preserve"> While strategic and military planning was tightly controlled by the party itself, these popular activities—particularly those in which civilians directly participated in—were to play a key role in propelling a revolution in the cities, not merely to legitimate the violence of the revolution.</w:t>
      </w:r>
      <w:r w:rsidR="002E3A01">
        <w:rPr>
          <w:rStyle w:val="FootnoteReference"/>
          <w:rFonts w:ascii="Times New Roman" w:hAnsi="Times New Roman" w:cs="Times New Roman"/>
          <w:sz w:val="24"/>
          <w:szCs w:val="24"/>
        </w:rPr>
        <w:footnoteReference w:id="389"/>
      </w:r>
    </w:p>
    <w:p w:rsidR="00323B03" w:rsidRPr="00F62BA4" w:rsidRDefault="00323B03" w:rsidP="006D0328">
      <w:pPr>
        <w:rPr>
          <w:rFonts w:ascii="Times New Roman" w:hAnsi="Times New Roman" w:cs="Times New Roman"/>
          <w:b/>
          <w:sz w:val="24"/>
          <w:szCs w:val="24"/>
        </w:rPr>
      </w:pPr>
      <w:r w:rsidRPr="00F62BA4">
        <w:rPr>
          <w:rFonts w:ascii="Times New Roman" w:hAnsi="Times New Roman" w:cs="Times New Roman"/>
          <w:b/>
          <w:sz w:val="24"/>
          <w:szCs w:val="24"/>
        </w:rPr>
        <w:lastRenderedPageBreak/>
        <w:t>Philippines (1972-1996)</w:t>
      </w:r>
    </w:p>
    <w:p w:rsidR="00323B03" w:rsidRPr="00F62BA4" w:rsidRDefault="00323B03" w:rsidP="006D0328">
      <w:pPr>
        <w:rPr>
          <w:rFonts w:ascii="Times New Roman" w:hAnsi="Times New Roman" w:cs="Times New Roman"/>
          <w:sz w:val="24"/>
          <w:szCs w:val="24"/>
        </w:rPr>
      </w:pPr>
      <w:r w:rsidRPr="00F62BA4">
        <w:rPr>
          <w:rFonts w:ascii="Times New Roman" w:hAnsi="Times New Roman" w:cs="Times New Roman"/>
          <w:sz w:val="24"/>
          <w:szCs w:val="24"/>
        </w:rPr>
        <w:t>Rebels / Incumbents: Moro National Liberation Front (MNLF)</w:t>
      </w:r>
      <w:r w:rsidR="00347CE0" w:rsidRPr="00F62BA4">
        <w:rPr>
          <w:rFonts w:ascii="Times New Roman" w:hAnsi="Times New Roman" w:cs="Times New Roman"/>
          <w:sz w:val="24"/>
          <w:szCs w:val="24"/>
        </w:rPr>
        <w:t>, Moro Islamic Liberation Front (MILF)</w:t>
      </w:r>
      <w:r w:rsidRPr="00F62BA4">
        <w:rPr>
          <w:rFonts w:ascii="Times New Roman" w:hAnsi="Times New Roman" w:cs="Times New Roman"/>
          <w:sz w:val="24"/>
          <w:szCs w:val="24"/>
        </w:rPr>
        <w:t xml:space="preserve"> / Philippines</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323B03" w:rsidRPr="00F62BA4" w:rsidRDefault="00323B03" w:rsidP="006D0328">
      <w:pPr>
        <w:rPr>
          <w:rFonts w:ascii="Times New Roman" w:hAnsi="Times New Roman" w:cs="Times New Roman"/>
          <w:sz w:val="24"/>
          <w:szCs w:val="24"/>
        </w:rPr>
      </w:pPr>
      <w:r w:rsidRPr="00F62BA4">
        <w:rPr>
          <w:rFonts w:ascii="Times New Roman" w:hAnsi="Times New Roman" w:cs="Times New Roman"/>
          <w:sz w:val="24"/>
          <w:szCs w:val="24"/>
        </w:rPr>
        <w:tab/>
        <w:t>As the predominantly Christian Philippine government consolidated its position, previously self-governing groups found themselves to be suddenly subordinate in the 1950’s and 1960’s. In response to this loss of sovereignty, the enforcement of a new set of laws, and what was seen as inequitable application of those laws the MNLF began a decades-long civil war against the Philippine state in 1972.</w:t>
      </w:r>
      <w:r w:rsidRPr="00F62BA4">
        <w:rPr>
          <w:rStyle w:val="FootnoteReference"/>
          <w:rFonts w:ascii="Times New Roman" w:hAnsi="Times New Roman" w:cs="Times New Roman"/>
          <w:sz w:val="24"/>
          <w:szCs w:val="24"/>
        </w:rPr>
        <w:footnoteReference w:id="390"/>
      </w:r>
      <w:r w:rsidRPr="00F62BA4">
        <w:rPr>
          <w:rFonts w:ascii="Times New Roman" w:hAnsi="Times New Roman" w:cs="Times New Roman"/>
          <w:sz w:val="24"/>
          <w:szCs w:val="24"/>
        </w:rPr>
        <w:t xml:space="preserve"> In spite of the tradition of self-government, the MNLF did little to provide the goods of governance to its controlled territories.</w:t>
      </w:r>
    </w:p>
    <w:p w:rsidR="00323B03" w:rsidRPr="00F62BA4" w:rsidRDefault="00323B03" w:rsidP="006D0328">
      <w:pPr>
        <w:rPr>
          <w:rFonts w:ascii="Times New Roman" w:hAnsi="Times New Roman" w:cs="Times New Roman"/>
          <w:sz w:val="24"/>
          <w:szCs w:val="24"/>
        </w:rPr>
      </w:pPr>
      <w:r w:rsidRPr="00F62BA4">
        <w:rPr>
          <w:rFonts w:ascii="Times New Roman" w:hAnsi="Times New Roman" w:cs="Times New Roman"/>
          <w:sz w:val="24"/>
          <w:szCs w:val="24"/>
        </w:rPr>
        <w:tab/>
      </w:r>
      <w:r w:rsidR="00466CA2" w:rsidRPr="00F62BA4">
        <w:rPr>
          <w:rFonts w:ascii="Times New Roman" w:hAnsi="Times New Roman" w:cs="Times New Roman"/>
          <w:sz w:val="24"/>
          <w:szCs w:val="24"/>
        </w:rPr>
        <w:t>To a certain extent, this came about because of organizational deficiencies.</w:t>
      </w:r>
      <w:r w:rsidR="00466CA2" w:rsidRPr="00F62BA4">
        <w:rPr>
          <w:rStyle w:val="FootnoteReference"/>
          <w:rFonts w:ascii="Times New Roman" w:hAnsi="Times New Roman" w:cs="Times New Roman"/>
          <w:sz w:val="24"/>
          <w:szCs w:val="24"/>
        </w:rPr>
        <w:footnoteReference w:id="391"/>
      </w:r>
      <w:r w:rsidR="00466CA2" w:rsidRPr="00F62BA4">
        <w:rPr>
          <w:rFonts w:ascii="Times New Roman" w:hAnsi="Times New Roman" w:cs="Times New Roman"/>
          <w:sz w:val="24"/>
          <w:szCs w:val="24"/>
        </w:rPr>
        <w:t xml:space="preserve"> Never a terribly well-organized resistance movement, the group struggled to formalize its relationship with the population of its controlled territories, in spite of that population’s enthusiastic support. This deficiency could be seen in the MNLF’s struggles to govern itself after the conflict.</w:t>
      </w:r>
      <w:r w:rsidR="00466CA2" w:rsidRPr="00F62BA4">
        <w:rPr>
          <w:rStyle w:val="FootnoteReference"/>
          <w:rFonts w:ascii="Times New Roman" w:hAnsi="Times New Roman" w:cs="Times New Roman"/>
          <w:sz w:val="24"/>
          <w:szCs w:val="24"/>
        </w:rPr>
        <w:footnoteReference w:id="392"/>
      </w:r>
      <w:r w:rsidR="0088191B" w:rsidRPr="00F62BA4">
        <w:rPr>
          <w:rFonts w:ascii="Times New Roman" w:hAnsi="Times New Roman" w:cs="Times New Roman"/>
          <w:sz w:val="24"/>
          <w:szCs w:val="24"/>
        </w:rPr>
        <w:t xml:space="preserve"> </w:t>
      </w:r>
      <w:r w:rsidR="008D617E" w:rsidRPr="00F62BA4">
        <w:rPr>
          <w:rFonts w:ascii="Times New Roman" w:hAnsi="Times New Roman" w:cs="Times New Roman"/>
          <w:sz w:val="24"/>
          <w:szCs w:val="24"/>
        </w:rPr>
        <w:t>There were concerted efforts to re-establish independent legal authority, although their impact was somewhat limited.</w:t>
      </w:r>
      <w:r w:rsidR="008D617E" w:rsidRPr="00F62BA4">
        <w:rPr>
          <w:rStyle w:val="FootnoteReference"/>
          <w:rFonts w:ascii="Times New Roman" w:hAnsi="Times New Roman" w:cs="Times New Roman"/>
          <w:sz w:val="24"/>
          <w:szCs w:val="24"/>
        </w:rPr>
        <w:footnoteReference w:id="393"/>
      </w:r>
      <w:r w:rsidR="008D617E" w:rsidRPr="00F62BA4">
        <w:rPr>
          <w:rFonts w:ascii="Times New Roman" w:hAnsi="Times New Roman" w:cs="Times New Roman"/>
          <w:sz w:val="24"/>
          <w:szCs w:val="24"/>
        </w:rPr>
        <w:t xml:space="preserve"> Although independent courts were established, their authority was undercut by inconsistent reliance upon them by the population. Additionally, the continued participation of Muslims in Philippine politics undercut the demand for governing institutions.</w:t>
      </w:r>
    </w:p>
    <w:p w:rsidR="00863886" w:rsidRPr="00F62BA4" w:rsidRDefault="00863886" w:rsidP="006D0328">
      <w:pPr>
        <w:rPr>
          <w:rFonts w:ascii="Times New Roman" w:hAnsi="Times New Roman" w:cs="Times New Roman"/>
          <w:b/>
          <w:sz w:val="24"/>
          <w:szCs w:val="24"/>
        </w:rPr>
      </w:pPr>
      <w:r w:rsidRPr="00F62BA4">
        <w:rPr>
          <w:rFonts w:ascii="Times New Roman" w:hAnsi="Times New Roman" w:cs="Times New Roman"/>
          <w:b/>
          <w:sz w:val="24"/>
          <w:szCs w:val="24"/>
        </w:rPr>
        <w:t>Romania (1989)</w:t>
      </w:r>
    </w:p>
    <w:p w:rsidR="00863886" w:rsidRPr="00F62BA4" w:rsidRDefault="00863886" w:rsidP="006D0328">
      <w:pPr>
        <w:rPr>
          <w:rFonts w:ascii="Times New Roman" w:hAnsi="Times New Roman" w:cs="Times New Roman"/>
          <w:sz w:val="24"/>
          <w:szCs w:val="24"/>
        </w:rPr>
      </w:pPr>
      <w:r w:rsidRPr="00F62BA4">
        <w:rPr>
          <w:rFonts w:ascii="Times New Roman" w:hAnsi="Times New Roman" w:cs="Times New Roman"/>
          <w:sz w:val="24"/>
          <w:szCs w:val="24"/>
        </w:rPr>
        <w:t>Rebels / Incumbents: Anti-Governmental Factions (eventually represented as National Salvation Front) / Socialist Republic of Romania</w:t>
      </w:r>
    </w:p>
    <w:p w:rsidR="00863886" w:rsidRPr="00F62BA4" w:rsidRDefault="005B1032" w:rsidP="00863886">
      <w:pPr>
        <w:rPr>
          <w:rFonts w:ascii="Times New Roman" w:hAnsi="Times New Roman" w:cs="Times New Roman"/>
          <w:b/>
          <w:sz w:val="24"/>
          <w:szCs w:val="24"/>
        </w:rPr>
      </w:pPr>
      <w:r>
        <w:rPr>
          <w:rFonts w:ascii="Times New Roman" w:hAnsi="Times New Roman" w:cs="Times New Roman"/>
          <w:b/>
          <w:sz w:val="24"/>
          <w:szCs w:val="24"/>
        </w:rPr>
        <w:t>Policing/juridical</w:t>
      </w:r>
      <w:r w:rsidR="00863886"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863886" w:rsidRPr="00F62BA4">
        <w:rPr>
          <w:rFonts w:ascii="Times New Roman" w:hAnsi="Times New Roman" w:cs="Times New Roman"/>
          <w:b/>
          <w:sz w:val="24"/>
          <w:szCs w:val="24"/>
        </w:rPr>
        <w:t>: 0</w:t>
      </w:r>
    </w:p>
    <w:p w:rsidR="00863886" w:rsidRPr="00F62BA4" w:rsidRDefault="00820256"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Nicolai Ceausescu’s grip on Romania had dwindled to a substantial extent by December of 1989, but few could have imagined that the dictator’s regime, built largely on a cult of personality, would be toppled in a matter </w:t>
      </w:r>
      <w:r w:rsidR="00F82E96" w:rsidRPr="00F62BA4">
        <w:rPr>
          <w:rFonts w:ascii="Times New Roman" w:hAnsi="Times New Roman" w:cs="Times New Roman"/>
          <w:sz w:val="24"/>
          <w:szCs w:val="24"/>
        </w:rPr>
        <w:t>of days. One reason for the rapidity of Communist Romania’s downfall was the fact that shortly after the uprising began in Timisoara in mid-December, substantial portions of Romania’s army and communist party joined in.</w:t>
      </w:r>
      <w:r w:rsidR="00F82E96" w:rsidRPr="00F62BA4">
        <w:rPr>
          <w:rStyle w:val="FootnoteReference"/>
          <w:rFonts w:ascii="Times New Roman" w:hAnsi="Times New Roman" w:cs="Times New Roman"/>
          <w:sz w:val="24"/>
          <w:szCs w:val="24"/>
        </w:rPr>
        <w:footnoteReference w:id="394"/>
      </w:r>
    </w:p>
    <w:p w:rsidR="00F82E96" w:rsidRPr="00F62BA4" w:rsidRDefault="00F82E96"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Unsurprisingly, the extraordinarily brief civil war ended before the opposition could begin to </w:t>
      </w:r>
      <w:r w:rsidR="006B6542" w:rsidRPr="00F62BA4">
        <w:rPr>
          <w:rFonts w:ascii="Times New Roman" w:hAnsi="Times New Roman" w:cs="Times New Roman"/>
          <w:sz w:val="24"/>
          <w:szCs w:val="24"/>
        </w:rPr>
        <w:t xml:space="preserve">organize itself as a government. Although the Ceausescus were tried before they were </w:t>
      </w:r>
      <w:r w:rsidR="006B6542" w:rsidRPr="00F62BA4">
        <w:rPr>
          <w:rFonts w:ascii="Times New Roman" w:hAnsi="Times New Roman" w:cs="Times New Roman"/>
          <w:sz w:val="24"/>
          <w:szCs w:val="24"/>
        </w:rPr>
        <w:lastRenderedPageBreak/>
        <w:t>killed, it was hardly representative of a state applying force according to some notion of rule of law. Indeed, some observers noted that it bore much of the excesses and deficits of the Stalinist regime which it opposed.</w:t>
      </w:r>
      <w:r w:rsidR="006B6542" w:rsidRPr="00F62BA4">
        <w:rPr>
          <w:rStyle w:val="FootnoteReference"/>
          <w:rFonts w:ascii="Times New Roman" w:hAnsi="Times New Roman" w:cs="Times New Roman"/>
          <w:sz w:val="24"/>
          <w:szCs w:val="24"/>
        </w:rPr>
        <w:t xml:space="preserve"> </w:t>
      </w:r>
      <w:r w:rsidR="006B6542" w:rsidRPr="00F62BA4">
        <w:rPr>
          <w:rStyle w:val="FootnoteReference"/>
          <w:rFonts w:ascii="Times New Roman" w:hAnsi="Times New Roman" w:cs="Times New Roman"/>
          <w:sz w:val="24"/>
          <w:szCs w:val="24"/>
        </w:rPr>
        <w:footnoteReference w:id="395"/>
      </w:r>
      <w:r w:rsidR="00BF2759" w:rsidRPr="00F62BA4">
        <w:rPr>
          <w:rFonts w:ascii="Times New Roman" w:hAnsi="Times New Roman" w:cs="Times New Roman"/>
          <w:sz w:val="24"/>
          <w:szCs w:val="24"/>
        </w:rPr>
        <w:t xml:space="preserve"> Even several years after the revolution had ended, the transition to democracy remained incomplete; the revolution could almost not help the fact that it experienced no real development of governance over its course.</w:t>
      </w:r>
    </w:p>
    <w:p w:rsidR="00703F8B" w:rsidRPr="00F62BA4" w:rsidRDefault="00703F8B" w:rsidP="006D0328">
      <w:pPr>
        <w:rPr>
          <w:rFonts w:ascii="Times New Roman" w:hAnsi="Times New Roman" w:cs="Times New Roman"/>
          <w:b/>
          <w:sz w:val="24"/>
          <w:szCs w:val="24"/>
        </w:rPr>
      </w:pPr>
      <w:r w:rsidRPr="00F62BA4">
        <w:rPr>
          <w:rFonts w:ascii="Times New Roman" w:hAnsi="Times New Roman" w:cs="Times New Roman"/>
          <w:b/>
          <w:sz w:val="24"/>
          <w:szCs w:val="24"/>
        </w:rPr>
        <w:t>Russia (1994-1996)</w:t>
      </w:r>
    </w:p>
    <w:p w:rsidR="00703F8B" w:rsidRPr="00F62BA4" w:rsidRDefault="00703F8B" w:rsidP="006D0328">
      <w:pPr>
        <w:rPr>
          <w:rFonts w:ascii="Times New Roman" w:hAnsi="Times New Roman" w:cs="Times New Roman"/>
          <w:sz w:val="24"/>
          <w:szCs w:val="24"/>
        </w:rPr>
      </w:pPr>
      <w:r w:rsidRPr="00F62BA4">
        <w:rPr>
          <w:rFonts w:ascii="Times New Roman" w:hAnsi="Times New Roman" w:cs="Times New Roman"/>
          <w:sz w:val="24"/>
          <w:szCs w:val="24"/>
        </w:rPr>
        <w:t>Rebels / Incumbents: Chechen Separatists / Russia</w:t>
      </w:r>
    </w:p>
    <w:p w:rsidR="00703F8B" w:rsidRPr="00F62BA4" w:rsidRDefault="005B1032" w:rsidP="00703F8B">
      <w:pPr>
        <w:rPr>
          <w:rFonts w:ascii="Times New Roman" w:hAnsi="Times New Roman" w:cs="Times New Roman"/>
          <w:b/>
          <w:sz w:val="24"/>
          <w:szCs w:val="24"/>
        </w:rPr>
      </w:pPr>
      <w:r>
        <w:rPr>
          <w:rFonts w:ascii="Times New Roman" w:hAnsi="Times New Roman" w:cs="Times New Roman"/>
          <w:b/>
          <w:sz w:val="24"/>
          <w:szCs w:val="24"/>
        </w:rPr>
        <w:t>Policing/juridical</w:t>
      </w:r>
      <w:r w:rsidR="00703F8B" w:rsidRPr="00F62BA4">
        <w:rPr>
          <w:rFonts w:ascii="Times New Roman" w:hAnsi="Times New Roman" w:cs="Times New Roman"/>
          <w:b/>
          <w:sz w:val="24"/>
          <w:szCs w:val="24"/>
        </w:rPr>
        <w:t>:</w:t>
      </w:r>
      <w:r w:rsidR="00243466" w:rsidRPr="00F62BA4">
        <w:rPr>
          <w:rFonts w:ascii="Times New Roman" w:hAnsi="Times New Roman" w:cs="Times New Roman"/>
          <w:b/>
          <w:sz w:val="24"/>
          <w:szCs w:val="24"/>
        </w:rPr>
        <w:t xml:space="preserve"> </w:t>
      </w:r>
      <w:r w:rsidR="004F05BF" w:rsidRPr="00F62BA4">
        <w:rPr>
          <w:rFonts w:ascii="Times New Roman" w:hAnsi="Times New Roman" w:cs="Times New Roman"/>
          <w:b/>
          <w:sz w:val="24"/>
          <w:szCs w:val="24"/>
        </w:rPr>
        <w:t>0</w:t>
      </w:r>
      <w:r w:rsidR="00C8444D" w:rsidRPr="00F62BA4">
        <w:rPr>
          <w:rFonts w:ascii="Times New Roman" w:hAnsi="Times New Roman" w:cs="Times New Roman"/>
          <w:b/>
          <w:sz w:val="24"/>
          <w:szCs w:val="24"/>
        </w:rPr>
        <w:t xml:space="preserve">; Public Goods: </w:t>
      </w:r>
      <w:r w:rsidR="003C6DD9" w:rsidRPr="00F62BA4">
        <w:rPr>
          <w:rFonts w:ascii="Times New Roman" w:hAnsi="Times New Roman" w:cs="Times New Roman"/>
          <w:b/>
          <w:sz w:val="24"/>
          <w:szCs w:val="24"/>
        </w:rPr>
        <w:t>0</w:t>
      </w:r>
      <w:r w:rsidR="00C8444D" w:rsidRPr="00F62BA4">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C8444D" w:rsidRPr="00F62BA4">
        <w:rPr>
          <w:rFonts w:ascii="Times New Roman" w:hAnsi="Times New Roman" w:cs="Times New Roman"/>
          <w:b/>
          <w:sz w:val="24"/>
          <w:szCs w:val="24"/>
        </w:rPr>
        <w:t xml:space="preserve">: </w:t>
      </w:r>
      <w:r w:rsidR="003C6DD9" w:rsidRPr="00F62BA4">
        <w:rPr>
          <w:rFonts w:ascii="Times New Roman" w:hAnsi="Times New Roman" w:cs="Times New Roman"/>
          <w:b/>
          <w:sz w:val="24"/>
          <w:szCs w:val="24"/>
        </w:rPr>
        <w:t>0</w:t>
      </w:r>
    </w:p>
    <w:p w:rsidR="00703F8B" w:rsidRPr="00F62BA4" w:rsidRDefault="00703F8B" w:rsidP="006D0328">
      <w:pPr>
        <w:rPr>
          <w:rFonts w:ascii="Times New Roman" w:hAnsi="Times New Roman" w:cs="Times New Roman"/>
          <w:sz w:val="24"/>
          <w:szCs w:val="24"/>
        </w:rPr>
      </w:pPr>
      <w:r w:rsidRPr="00F62BA4">
        <w:rPr>
          <w:rFonts w:ascii="Times New Roman" w:hAnsi="Times New Roman" w:cs="Times New Roman"/>
          <w:sz w:val="24"/>
          <w:szCs w:val="24"/>
        </w:rPr>
        <w:tab/>
        <w:t>The ongoing Chechen conflict’s first act was a humiliating defeat for the Russian incumbents. The Chechen separatists were able to make and defend their claim to independence and began the process of constructing a parallel state structure to administer their homeland. One would expect then, that one would find ample evidence of wartime rebel governance developments. This is not the case.</w:t>
      </w:r>
    </w:p>
    <w:p w:rsidR="00C8444D" w:rsidRPr="00F62BA4" w:rsidRDefault="00C8444D" w:rsidP="006D0328">
      <w:pPr>
        <w:rPr>
          <w:rFonts w:ascii="Times New Roman" w:hAnsi="Times New Roman" w:cs="Times New Roman"/>
          <w:sz w:val="24"/>
          <w:szCs w:val="24"/>
        </w:rPr>
      </w:pPr>
      <w:r w:rsidRPr="00F62BA4">
        <w:rPr>
          <w:rFonts w:ascii="Times New Roman" w:hAnsi="Times New Roman" w:cs="Times New Roman"/>
          <w:sz w:val="24"/>
          <w:szCs w:val="24"/>
        </w:rPr>
        <w:tab/>
        <w:t>First, the independent Chechen state established its popular legitimacy in 1991</w:t>
      </w:r>
      <w:r w:rsidR="00243466" w:rsidRPr="00F62BA4">
        <w:rPr>
          <w:rFonts w:ascii="Times New Roman" w:hAnsi="Times New Roman" w:cs="Times New Roman"/>
          <w:sz w:val="24"/>
          <w:szCs w:val="24"/>
        </w:rPr>
        <w:t xml:space="preserve"> with elections in October and a declaration of independence the following month.</w:t>
      </w:r>
      <w:r w:rsidR="00243466" w:rsidRPr="00F62BA4">
        <w:rPr>
          <w:rStyle w:val="FootnoteReference"/>
          <w:rFonts w:ascii="Times New Roman" w:hAnsi="Times New Roman" w:cs="Times New Roman"/>
          <w:sz w:val="24"/>
          <w:szCs w:val="24"/>
        </w:rPr>
        <w:footnoteReference w:id="396"/>
      </w:r>
      <w:r w:rsidR="00243466" w:rsidRPr="00F62BA4">
        <w:rPr>
          <w:rFonts w:ascii="Times New Roman" w:hAnsi="Times New Roman" w:cs="Times New Roman"/>
          <w:sz w:val="24"/>
          <w:szCs w:val="24"/>
        </w:rPr>
        <w:t xml:space="preserve"> It simi</w:t>
      </w:r>
      <w:r w:rsidR="003C6DD9" w:rsidRPr="00F62BA4">
        <w:rPr>
          <w:rFonts w:ascii="Times New Roman" w:hAnsi="Times New Roman" w:cs="Times New Roman"/>
          <w:sz w:val="24"/>
          <w:szCs w:val="24"/>
        </w:rPr>
        <w:t xml:space="preserve">larly cannot be argued that the parliament and presidencies role as a feedback mechanism was novel enough in 1994 to be counted as a novel </w:t>
      </w:r>
      <w:r w:rsidR="003C6DD9" w:rsidRPr="00F62BA4">
        <w:rPr>
          <w:rFonts w:ascii="Times New Roman" w:hAnsi="Times New Roman" w:cs="Times New Roman"/>
          <w:i/>
          <w:sz w:val="24"/>
          <w:szCs w:val="24"/>
        </w:rPr>
        <w:t>wartime</w:t>
      </w:r>
      <w:r w:rsidR="003C6DD9" w:rsidRPr="00F62BA4">
        <w:rPr>
          <w:rFonts w:ascii="Times New Roman" w:hAnsi="Times New Roman" w:cs="Times New Roman"/>
          <w:sz w:val="24"/>
          <w:szCs w:val="24"/>
        </w:rPr>
        <w:t xml:space="preserve"> development.</w:t>
      </w:r>
      <w:r w:rsidR="003C6DD9" w:rsidRPr="00F62BA4">
        <w:rPr>
          <w:rStyle w:val="FootnoteReference"/>
          <w:rFonts w:ascii="Times New Roman" w:hAnsi="Times New Roman" w:cs="Times New Roman"/>
          <w:sz w:val="24"/>
          <w:szCs w:val="24"/>
        </w:rPr>
        <w:footnoteReference w:id="397"/>
      </w:r>
      <w:r w:rsidR="003C6DD9" w:rsidRPr="00F62BA4">
        <w:rPr>
          <w:rFonts w:ascii="Times New Roman" w:hAnsi="Times New Roman" w:cs="Times New Roman"/>
          <w:sz w:val="24"/>
          <w:szCs w:val="24"/>
        </w:rPr>
        <w:t xml:space="preserve"> Additionally, most new developments in governance had more to do with its collapse than its progression.</w:t>
      </w:r>
    </w:p>
    <w:p w:rsidR="003C6DD9" w:rsidRPr="00F62BA4" w:rsidRDefault="00056359" w:rsidP="006D0328">
      <w:pPr>
        <w:rPr>
          <w:rFonts w:ascii="Times New Roman" w:hAnsi="Times New Roman" w:cs="Times New Roman"/>
          <w:sz w:val="24"/>
          <w:szCs w:val="24"/>
        </w:rPr>
      </w:pPr>
      <w:r w:rsidRPr="00F62BA4">
        <w:rPr>
          <w:rFonts w:ascii="Times New Roman" w:hAnsi="Times New Roman" w:cs="Times New Roman"/>
          <w:sz w:val="24"/>
          <w:szCs w:val="24"/>
        </w:rPr>
        <w:tab/>
        <w:t>The provision of public goods appears to have been particularly hard hit. Education ceased altogether save for those which could either be a) paid for by parents or b) the teachers continued working without receiving payment.</w:t>
      </w:r>
      <w:r w:rsidRPr="00F62BA4">
        <w:rPr>
          <w:rStyle w:val="FootnoteReference"/>
          <w:rFonts w:ascii="Times New Roman" w:hAnsi="Times New Roman" w:cs="Times New Roman"/>
          <w:sz w:val="24"/>
          <w:szCs w:val="24"/>
        </w:rPr>
        <w:footnoteReference w:id="398"/>
      </w:r>
      <w:r w:rsidRPr="00F62BA4">
        <w:rPr>
          <w:rFonts w:ascii="Times New Roman" w:hAnsi="Times New Roman" w:cs="Times New Roman"/>
          <w:sz w:val="24"/>
          <w:szCs w:val="24"/>
        </w:rPr>
        <w:t xml:space="preserve"> Healthcare provision was even more desultory, although not for lack of the effort on the part of doctors and nurses. In addition to harrowing accounts of overstretched staff trying to wade through a sea of the dead and dying,</w:t>
      </w:r>
      <w:r w:rsidRPr="00F62BA4">
        <w:rPr>
          <w:rStyle w:val="FootnoteReference"/>
          <w:rFonts w:ascii="Times New Roman" w:hAnsi="Times New Roman" w:cs="Times New Roman"/>
          <w:sz w:val="24"/>
          <w:szCs w:val="24"/>
        </w:rPr>
        <w:footnoteReference w:id="399"/>
      </w:r>
      <w:r w:rsidR="004F05BF" w:rsidRPr="00F62BA4">
        <w:rPr>
          <w:rFonts w:ascii="Times New Roman" w:hAnsi="Times New Roman" w:cs="Times New Roman"/>
          <w:sz w:val="24"/>
          <w:szCs w:val="24"/>
        </w:rPr>
        <w:t xml:space="preserve"> Chechen medical personnel had to deal with an almost unfathomably high infant mortality (10%), which some observers suggest was exacerbated by the alleged use of chemical weapons on the part of the Russians.</w:t>
      </w:r>
      <w:r w:rsidR="004F05BF" w:rsidRPr="00F62BA4">
        <w:rPr>
          <w:rStyle w:val="FootnoteReference"/>
          <w:rFonts w:ascii="Times New Roman" w:hAnsi="Times New Roman" w:cs="Times New Roman"/>
          <w:sz w:val="24"/>
          <w:szCs w:val="24"/>
        </w:rPr>
        <w:footnoteReference w:id="400"/>
      </w:r>
    </w:p>
    <w:p w:rsidR="004F05BF" w:rsidRPr="00F62BA4" w:rsidRDefault="004F05BF"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In part due to their skill in fighting the Russians, Islamists in Chechnya were able to secure a substantial concession which presaged their prominent position in contemporary Chechen politics. Beginning in April, 1995, courts purpose-built to apply sharia law operated parallel to secular ones, eventually replacing secular courts entirely after the war’s end. Although this is an important development in governance during the war, it does not represent a </w:t>
      </w:r>
      <w:r w:rsidRPr="00F62BA4">
        <w:rPr>
          <w:rFonts w:ascii="Times New Roman" w:hAnsi="Times New Roman" w:cs="Times New Roman"/>
          <w:sz w:val="24"/>
          <w:szCs w:val="24"/>
        </w:rPr>
        <w:lastRenderedPageBreak/>
        <w:t xml:space="preserve">substantially novel proficiency of the state, as courts already existed within the separatist would-be state. </w:t>
      </w:r>
    </w:p>
    <w:p w:rsidR="00F32597" w:rsidRPr="00F62BA4" w:rsidRDefault="00F32597" w:rsidP="006D0328">
      <w:pPr>
        <w:rPr>
          <w:rFonts w:ascii="Times New Roman" w:hAnsi="Times New Roman" w:cs="Times New Roman"/>
          <w:b/>
          <w:sz w:val="24"/>
          <w:szCs w:val="24"/>
        </w:rPr>
      </w:pPr>
      <w:r w:rsidRPr="00F62BA4">
        <w:rPr>
          <w:rFonts w:ascii="Times New Roman" w:hAnsi="Times New Roman" w:cs="Times New Roman"/>
          <w:b/>
          <w:sz w:val="24"/>
          <w:szCs w:val="24"/>
        </w:rPr>
        <w:t>Rwanda (1990-1993)</w:t>
      </w:r>
    </w:p>
    <w:p w:rsidR="00F32597" w:rsidRPr="00F62BA4" w:rsidRDefault="00F32597" w:rsidP="006D0328">
      <w:pPr>
        <w:rPr>
          <w:rFonts w:ascii="Times New Roman" w:hAnsi="Times New Roman" w:cs="Times New Roman"/>
          <w:sz w:val="24"/>
          <w:szCs w:val="24"/>
        </w:rPr>
      </w:pPr>
      <w:r w:rsidRPr="00F62BA4">
        <w:rPr>
          <w:rFonts w:ascii="Times New Roman" w:hAnsi="Times New Roman" w:cs="Times New Roman"/>
          <w:sz w:val="24"/>
          <w:szCs w:val="24"/>
        </w:rPr>
        <w:t>Rebels / Incumbents: Rwandan Patriotic Front / Rwanda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F32597" w:rsidRPr="00F62BA4" w:rsidRDefault="00532A78" w:rsidP="006D0328">
      <w:pPr>
        <w:rPr>
          <w:rFonts w:ascii="Times New Roman" w:hAnsi="Times New Roman" w:cs="Times New Roman"/>
          <w:sz w:val="24"/>
          <w:szCs w:val="24"/>
        </w:rPr>
      </w:pPr>
      <w:r w:rsidRPr="00F62BA4">
        <w:rPr>
          <w:rFonts w:ascii="Times New Roman" w:hAnsi="Times New Roman" w:cs="Times New Roman"/>
          <w:sz w:val="24"/>
          <w:szCs w:val="24"/>
        </w:rPr>
        <w:tab/>
      </w:r>
      <w:r w:rsidR="00F344C3" w:rsidRPr="00F62BA4">
        <w:rPr>
          <w:rFonts w:ascii="Times New Roman" w:hAnsi="Times New Roman" w:cs="Times New Roman"/>
          <w:sz w:val="24"/>
          <w:szCs w:val="24"/>
        </w:rPr>
        <w:t xml:space="preserve">Although ostensibly representing </w:t>
      </w:r>
      <w:r w:rsidRPr="00F62BA4">
        <w:rPr>
          <w:rFonts w:ascii="Times New Roman" w:hAnsi="Times New Roman" w:cs="Times New Roman"/>
          <w:sz w:val="24"/>
          <w:szCs w:val="24"/>
        </w:rPr>
        <w:t>Rwanda’s Tutsi minority</w:t>
      </w:r>
      <w:r w:rsidR="00F344C3" w:rsidRPr="00F62BA4">
        <w:rPr>
          <w:rFonts w:ascii="Times New Roman" w:hAnsi="Times New Roman" w:cs="Times New Roman"/>
          <w:sz w:val="24"/>
          <w:szCs w:val="24"/>
        </w:rPr>
        <w:t>, Tutsi refugees</w:t>
      </w:r>
      <w:r w:rsidRPr="00F62BA4">
        <w:rPr>
          <w:rFonts w:ascii="Times New Roman" w:hAnsi="Times New Roman" w:cs="Times New Roman"/>
          <w:sz w:val="24"/>
          <w:szCs w:val="24"/>
        </w:rPr>
        <w:t xml:space="preserve"> formed the Rwandan Patriotic Front to fight for the rights of the members of the put-upon ethnic community.</w:t>
      </w:r>
      <w:r w:rsidRPr="00F62BA4">
        <w:rPr>
          <w:rStyle w:val="FootnoteReference"/>
          <w:rFonts w:ascii="Times New Roman" w:hAnsi="Times New Roman" w:cs="Times New Roman"/>
          <w:sz w:val="24"/>
          <w:szCs w:val="24"/>
        </w:rPr>
        <w:footnoteReference w:id="401"/>
      </w:r>
      <w:r w:rsidRPr="00F62BA4">
        <w:rPr>
          <w:rFonts w:ascii="Times New Roman" w:hAnsi="Times New Roman" w:cs="Times New Roman"/>
          <w:sz w:val="24"/>
          <w:szCs w:val="24"/>
        </w:rPr>
        <w:t xml:space="preserve"> In spite of French assistance, the RPF made substantial gains within Rwanda. Ultimately, the RPF was able to secure a negotiated end to this chapter of the conflict. The short-lived agreement provided instruments of power-sharing and promised elections.</w:t>
      </w:r>
    </w:p>
    <w:p w:rsidR="00532A78" w:rsidRPr="00F62BA4" w:rsidRDefault="00532A78" w:rsidP="006D0328">
      <w:pPr>
        <w:rPr>
          <w:rFonts w:ascii="Times New Roman" w:hAnsi="Times New Roman" w:cs="Times New Roman"/>
          <w:sz w:val="24"/>
          <w:szCs w:val="24"/>
        </w:rPr>
      </w:pPr>
      <w:r w:rsidRPr="00F62BA4">
        <w:rPr>
          <w:rFonts w:ascii="Times New Roman" w:hAnsi="Times New Roman" w:cs="Times New Roman"/>
          <w:sz w:val="24"/>
          <w:szCs w:val="24"/>
        </w:rPr>
        <w:tab/>
        <w:t>The RPF’s record as</w:t>
      </w:r>
      <w:r w:rsidR="00C73E09" w:rsidRPr="00F62BA4">
        <w:rPr>
          <w:rFonts w:ascii="Times New Roman" w:hAnsi="Times New Roman" w:cs="Times New Roman"/>
          <w:sz w:val="24"/>
          <w:szCs w:val="24"/>
        </w:rPr>
        <w:t xml:space="preserve"> wartime</w:t>
      </w:r>
      <w:r w:rsidRPr="00F62BA4">
        <w:rPr>
          <w:rFonts w:ascii="Times New Roman" w:hAnsi="Times New Roman" w:cs="Times New Roman"/>
          <w:sz w:val="24"/>
          <w:szCs w:val="24"/>
        </w:rPr>
        <w:t xml:space="preserve"> governors</w:t>
      </w:r>
      <w:r w:rsidR="00C73E09" w:rsidRPr="00F62BA4">
        <w:rPr>
          <w:rFonts w:ascii="Times New Roman" w:hAnsi="Times New Roman" w:cs="Times New Roman"/>
          <w:sz w:val="24"/>
          <w:szCs w:val="24"/>
        </w:rPr>
        <w:t xml:space="preserve"> is most charitably described as incomplete. The state’s ability to administer itself collapsed during the conflict, and RPF’s leadership appeared to be ill-suited to creating an administration ex nihilo.</w:t>
      </w:r>
      <w:r w:rsidR="00C73E09" w:rsidRPr="00F62BA4">
        <w:rPr>
          <w:rStyle w:val="FootnoteReference"/>
          <w:rFonts w:ascii="Times New Roman" w:hAnsi="Times New Roman" w:cs="Times New Roman"/>
          <w:sz w:val="24"/>
          <w:szCs w:val="24"/>
        </w:rPr>
        <w:footnoteReference w:id="402"/>
      </w:r>
      <w:r w:rsidR="00C73E09" w:rsidRPr="00F62BA4">
        <w:rPr>
          <w:rFonts w:ascii="Times New Roman" w:hAnsi="Times New Roman" w:cs="Times New Roman"/>
          <w:sz w:val="24"/>
          <w:szCs w:val="24"/>
        </w:rPr>
        <w:t xml:space="preserve"> The legal system, already hamstrung by a lack of public confidence, ceased to function altogether during the conflict. The RPF was in a poor position to replace it—its number were largely not Rwandan, but Ugandan. Its public support came almost entirely from the brutal reprisals against the Tutsi and moderate Hutu.</w:t>
      </w:r>
    </w:p>
    <w:p w:rsidR="00C73E09" w:rsidRPr="00F62BA4" w:rsidRDefault="00C73E09"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A more stringent evaluation of RPF governance would be quite poor, though. </w:t>
      </w:r>
      <w:r w:rsidR="000412AF" w:rsidRPr="00F62BA4">
        <w:rPr>
          <w:rFonts w:ascii="Times New Roman" w:hAnsi="Times New Roman" w:cs="Times New Roman"/>
          <w:sz w:val="24"/>
          <w:szCs w:val="24"/>
        </w:rPr>
        <w:t>The RPF did very little to support or even engage with the local population. Wiliam Cyrus Reed remarks that, while many guerilla operations seek to politicize the peasant population within their controlled territory, the RPF made no such attempts.</w:t>
      </w:r>
      <w:r w:rsidR="000412AF" w:rsidRPr="00F62BA4">
        <w:rPr>
          <w:rStyle w:val="FootnoteReference"/>
          <w:rFonts w:ascii="Times New Roman" w:hAnsi="Times New Roman" w:cs="Times New Roman"/>
          <w:sz w:val="24"/>
          <w:szCs w:val="24"/>
        </w:rPr>
        <w:footnoteReference w:id="403"/>
      </w:r>
      <w:r w:rsidR="000412AF" w:rsidRPr="00F62BA4">
        <w:rPr>
          <w:rFonts w:ascii="Times New Roman" w:hAnsi="Times New Roman" w:cs="Times New Roman"/>
          <w:sz w:val="24"/>
          <w:szCs w:val="24"/>
        </w:rPr>
        <w:t xml:space="preserve"> Instead, they preferred to leave displaced peasants up to the government, placing additional strain on an administration which was also poorly-suited to the job.</w:t>
      </w:r>
    </w:p>
    <w:p w:rsidR="00F32597" w:rsidRPr="00F62BA4" w:rsidRDefault="00F32597" w:rsidP="006D0328">
      <w:pPr>
        <w:rPr>
          <w:rFonts w:ascii="Times New Roman" w:hAnsi="Times New Roman" w:cs="Times New Roman"/>
          <w:b/>
          <w:sz w:val="24"/>
          <w:szCs w:val="24"/>
        </w:rPr>
      </w:pPr>
      <w:r w:rsidRPr="00F62BA4">
        <w:rPr>
          <w:rFonts w:ascii="Times New Roman" w:hAnsi="Times New Roman" w:cs="Times New Roman"/>
          <w:b/>
          <w:sz w:val="24"/>
          <w:szCs w:val="24"/>
        </w:rPr>
        <w:t>Rwanda (1994)</w:t>
      </w:r>
    </w:p>
    <w:p w:rsidR="00F32597" w:rsidRPr="00F62BA4" w:rsidRDefault="00F32597" w:rsidP="006D0328">
      <w:pPr>
        <w:rPr>
          <w:rFonts w:ascii="Times New Roman" w:hAnsi="Times New Roman" w:cs="Times New Roman"/>
          <w:sz w:val="24"/>
          <w:szCs w:val="24"/>
        </w:rPr>
      </w:pPr>
      <w:r w:rsidRPr="00F62BA4">
        <w:rPr>
          <w:rFonts w:ascii="Times New Roman" w:hAnsi="Times New Roman" w:cs="Times New Roman"/>
          <w:sz w:val="24"/>
          <w:szCs w:val="24"/>
        </w:rPr>
        <w:t>Rebels / Incumbents: Rwandan Patriotic Front / Rwanda</w:t>
      </w:r>
      <w:r w:rsidR="00E9736E" w:rsidRPr="00F62BA4">
        <w:rPr>
          <w:rFonts w:ascii="Times New Roman" w:hAnsi="Times New Roman" w:cs="Times New Roman"/>
          <w:sz w:val="24"/>
          <w:szCs w:val="24"/>
        </w:rPr>
        <w:t>, Interahamwe militias</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C17860" w:rsidRPr="00F62BA4" w:rsidRDefault="00C17860" w:rsidP="006D0328">
      <w:pPr>
        <w:rPr>
          <w:rFonts w:ascii="Times New Roman" w:hAnsi="Times New Roman" w:cs="Times New Roman"/>
          <w:sz w:val="24"/>
          <w:szCs w:val="24"/>
        </w:rPr>
      </w:pPr>
      <w:r w:rsidRPr="00F62BA4">
        <w:rPr>
          <w:rFonts w:ascii="Times New Roman" w:hAnsi="Times New Roman" w:cs="Times New Roman"/>
          <w:sz w:val="24"/>
          <w:szCs w:val="24"/>
        </w:rPr>
        <w:tab/>
        <w:t>Hutu resentment of the power-sharing agreement signed in Arusha was palpable in 1994. In spite of constituting a fifth of the population, the agreement called for Tutsis to constitute 40% of the country’s armed forces (for instance). These resentments reached fever pitch when President Juvénal Habyarimana’s plane was shot down, killing him.</w:t>
      </w:r>
      <w:r w:rsidRPr="00F62BA4">
        <w:rPr>
          <w:rStyle w:val="FootnoteReference"/>
          <w:rFonts w:ascii="Times New Roman" w:hAnsi="Times New Roman" w:cs="Times New Roman"/>
          <w:sz w:val="24"/>
          <w:szCs w:val="24"/>
        </w:rPr>
        <w:footnoteReference w:id="404"/>
      </w:r>
      <w:r w:rsidRPr="00F62BA4">
        <w:rPr>
          <w:rFonts w:ascii="Times New Roman" w:hAnsi="Times New Roman" w:cs="Times New Roman"/>
          <w:sz w:val="24"/>
          <w:szCs w:val="24"/>
        </w:rPr>
        <w:t xml:space="preserve"> Following a genocidal </w:t>
      </w:r>
      <w:r w:rsidRPr="00F62BA4">
        <w:rPr>
          <w:rFonts w:ascii="Times New Roman" w:hAnsi="Times New Roman" w:cs="Times New Roman"/>
          <w:sz w:val="24"/>
          <w:szCs w:val="24"/>
        </w:rPr>
        <w:lastRenderedPageBreak/>
        <w:t>series of reprisals, the RPF began a brief campaign in April of 1994, defeating Rwanda’s armed forces in a matter of months.</w:t>
      </w:r>
    </w:p>
    <w:p w:rsidR="00A86AB6" w:rsidRPr="00F62BA4" w:rsidRDefault="000412AF"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The RPF’s performance in the conflict’s second chapter proceeded much like the first. For example, </w:t>
      </w:r>
      <w:r w:rsidR="00A86AB6" w:rsidRPr="00F62BA4">
        <w:rPr>
          <w:rFonts w:ascii="Times New Roman" w:hAnsi="Times New Roman" w:cs="Times New Roman"/>
          <w:sz w:val="24"/>
          <w:szCs w:val="24"/>
        </w:rPr>
        <w:t>Rwanda’s health service was devastated during the conflict. What healthcare could be had was provided by foreign parties.</w:t>
      </w:r>
      <w:r w:rsidR="00A86AB6" w:rsidRPr="00F62BA4">
        <w:rPr>
          <w:rStyle w:val="FootnoteReference"/>
          <w:rFonts w:ascii="Times New Roman" w:hAnsi="Times New Roman" w:cs="Times New Roman"/>
          <w:sz w:val="24"/>
          <w:szCs w:val="24"/>
        </w:rPr>
        <w:footnoteReference w:id="405"/>
      </w:r>
      <w:r w:rsidRPr="00F62BA4">
        <w:rPr>
          <w:rFonts w:ascii="Times New Roman" w:hAnsi="Times New Roman" w:cs="Times New Roman"/>
          <w:sz w:val="24"/>
          <w:szCs w:val="24"/>
        </w:rPr>
        <w:t xml:space="preserve"> The RPF appears to have been largely uninvolved in these efforts.</w:t>
      </w:r>
      <w:r w:rsidR="0030183F" w:rsidRPr="00F62BA4">
        <w:rPr>
          <w:rFonts w:ascii="Times New Roman" w:hAnsi="Times New Roman" w:cs="Times New Roman"/>
          <w:sz w:val="24"/>
          <w:szCs w:val="24"/>
        </w:rPr>
        <w:t xml:space="preserve"> Although it is unlikely that even concentrated efforts to establish instruments of governance could bear fruits in such a brief conflict, there is little evidence that the RPF would have bothered even had the conflict dragged on much longer.</w:t>
      </w:r>
    </w:p>
    <w:p w:rsidR="009E4ED4" w:rsidRPr="00F62BA4" w:rsidRDefault="009E4ED4" w:rsidP="00F32597">
      <w:pPr>
        <w:rPr>
          <w:rFonts w:ascii="Times New Roman" w:hAnsi="Times New Roman" w:cs="Times New Roman"/>
          <w:b/>
          <w:sz w:val="24"/>
          <w:szCs w:val="24"/>
        </w:rPr>
      </w:pPr>
      <w:r w:rsidRPr="00F62BA4">
        <w:rPr>
          <w:rFonts w:ascii="Times New Roman" w:hAnsi="Times New Roman" w:cs="Times New Roman"/>
          <w:b/>
          <w:sz w:val="24"/>
          <w:szCs w:val="24"/>
        </w:rPr>
        <w:t>Sierra Leone (1991-1996)</w:t>
      </w:r>
    </w:p>
    <w:p w:rsidR="009E4ED4" w:rsidRPr="00F62BA4" w:rsidRDefault="009E4ED4" w:rsidP="00F32597">
      <w:pPr>
        <w:rPr>
          <w:rFonts w:ascii="Times New Roman" w:hAnsi="Times New Roman" w:cs="Times New Roman"/>
          <w:sz w:val="24"/>
          <w:szCs w:val="24"/>
        </w:rPr>
      </w:pPr>
      <w:r w:rsidRPr="00F62BA4">
        <w:rPr>
          <w:rFonts w:ascii="Times New Roman" w:hAnsi="Times New Roman" w:cs="Times New Roman"/>
          <w:sz w:val="24"/>
          <w:szCs w:val="24"/>
        </w:rPr>
        <w:t>Rebels / Incumbents:</w:t>
      </w:r>
      <w:r w:rsidR="00EF5C4E" w:rsidRPr="00F62BA4">
        <w:rPr>
          <w:rFonts w:ascii="Times New Roman" w:hAnsi="Times New Roman" w:cs="Times New Roman"/>
          <w:sz w:val="24"/>
          <w:szCs w:val="24"/>
        </w:rPr>
        <w:t xml:space="preserve"> Revolutionary United Front (RUF) / Sierra Leone</w:t>
      </w:r>
      <w:r w:rsidR="00901E26" w:rsidRPr="00F62BA4">
        <w:rPr>
          <w:rFonts w:ascii="Times New Roman" w:hAnsi="Times New Roman" w:cs="Times New Roman"/>
          <w:sz w:val="24"/>
          <w:szCs w:val="24"/>
        </w:rPr>
        <w:t>, Executive Outcomes (1995 and forward)</w:t>
      </w:r>
    </w:p>
    <w:p w:rsidR="00D9746E" w:rsidRDefault="005B1032" w:rsidP="00F32597">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1;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901E26" w:rsidRPr="00D9746E" w:rsidRDefault="00901E26" w:rsidP="00F32597">
      <w:pPr>
        <w:rPr>
          <w:rFonts w:ascii="Times New Roman" w:hAnsi="Times New Roman" w:cs="Times New Roman"/>
          <w:b/>
          <w:sz w:val="24"/>
          <w:szCs w:val="24"/>
        </w:rPr>
      </w:pPr>
      <w:r w:rsidRPr="00F62BA4">
        <w:rPr>
          <w:rFonts w:ascii="Times New Roman" w:hAnsi="Times New Roman" w:cs="Times New Roman"/>
          <w:sz w:val="24"/>
          <w:szCs w:val="24"/>
        </w:rPr>
        <w:tab/>
        <w:t>The RUF, a collection of fighters from Sierra Leone, Burkina Faso, and Liberian partisans of Charles Taylor, invaded eastern Sierra Leone in March of 1991.</w:t>
      </w:r>
      <w:r w:rsidRPr="00F62BA4">
        <w:rPr>
          <w:rStyle w:val="FootnoteReference"/>
          <w:rFonts w:ascii="Times New Roman" w:hAnsi="Times New Roman" w:cs="Times New Roman"/>
          <w:sz w:val="24"/>
          <w:szCs w:val="24"/>
        </w:rPr>
        <w:footnoteReference w:id="406"/>
      </w:r>
      <w:r w:rsidRPr="00F62BA4">
        <w:rPr>
          <w:rFonts w:ascii="Times New Roman" w:hAnsi="Times New Roman" w:cs="Times New Roman"/>
          <w:sz w:val="24"/>
          <w:szCs w:val="24"/>
        </w:rPr>
        <w:t xml:space="preserve"> The early days of the conflict were especially difficult for the incumbents, as many Sierra Leonean Army (SLA) soldiers spent at least some of their time supporting the rebels. To make matters worse, the central government was unable to provide medical treatment for their wounded or even salaries, leading to a protest in the capital. Sierra Leonean president Joseph Saidu Momoh believed the protest was, in fact, a coup and fled the country. A military regime—the National Provisional Ruling Council (NPRC)—filled the power vacuum, appointing Captain Valentine Strasser as its leader.</w:t>
      </w:r>
    </w:p>
    <w:p w:rsidR="00901E26" w:rsidRPr="00F62BA4" w:rsidRDefault="00850900" w:rsidP="00F32597">
      <w:pPr>
        <w:rPr>
          <w:rFonts w:ascii="Times New Roman" w:hAnsi="Times New Roman" w:cs="Times New Roman"/>
          <w:sz w:val="24"/>
          <w:szCs w:val="24"/>
        </w:rPr>
      </w:pPr>
      <w:r w:rsidRPr="00F62BA4">
        <w:rPr>
          <w:rFonts w:ascii="Times New Roman" w:hAnsi="Times New Roman" w:cs="Times New Roman"/>
          <w:sz w:val="24"/>
          <w:szCs w:val="24"/>
        </w:rPr>
        <w:tab/>
        <w:t>In spite of their territorial conquests, securing popular support was difficult.</w:t>
      </w:r>
      <w:r w:rsidRPr="00F62BA4">
        <w:rPr>
          <w:rStyle w:val="FootnoteReference"/>
          <w:rFonts w:ascii="Times New Roman" w:hAnsi="Times New Roman" w:cs="Times New Roman"/>
          <w:sz w:val="24"/>
          <w:szCs w:val="24"/>
        </w:rPr>
        <w:footnoteReference w:id="407"/>
      </w:r>
      <w:r w:rsidRPr="00F62BA4">
        <w:rPr>
          <w:rFonts w:ascii="Times New Roman" w:hAnsi="Times New Roman" w:cs="Times New Roman"/>
          <w:sz w:val="24"/>
          <w:szCs w:val="24"/>
        </w:rPr>
        <w:t xml:space="preserve"> One reason for this is their brutal treatment of their would-be subjects.</w:t>
      </w:r>
      <w:r w:rsidR="00F145AB" w:rsidRPr="00F62BA4">
        <w:rPr>
          <w:rFonts w:ascii="Times New Roman" w:hAnsi="Times New Roman" w:cs="Times New Roman"/>
          <w:sz w:val="24"/>
          <w:szCs w:val="24"/>
        </w:rPr>
        <w:t xml:space="preserve"> In spite of this, RUF had, by war’s end, engaged in some efforts to organize and administer its controlled territories.</w:t>
      </w:r>
      <w:r w:rsidR="00F145AB" w:rsidRPr="00F62BA4">
        <w:rPr>
          <w:rStyle w:val="FootnoteReference"/>
          <w:rFonts w:ascii="Times New Roman" w:hAnsi="Times New Roman" w:cs="Times New Roman"/>
          <w:sz w:val="24"/>
          <w:szCs w:val="24"/>
        </w:rPr>
        <w:footnoteReference w:id="408"/>
      </w:r>
      <w:r w:rsidR="00F145AB" w:rsidRPr="00F62BA4">
        <w:rPr>
          <w:rFonts w:ascii="Times New Roman" w:hAnsi="Times New Roman" w:cs="Times New Roman"/>
          <w:sz w:val="24"/>
          <w:szCs w:val="24"/>
        </w:rPr>
        <w:t xml:space="preserve"> To the extent that RUF was interested in revolution, they emphasized a return to communitarian, agrarian society which mixed private agriculture with community farming projects to feed soldiers (there is some disagreement over whether and to what extent RUF soldiers engaged in agriculture themselves</w:t>
      </w:r>
      <w:r w:rsidR="00F145AB" w:rsidRPr="00F62BA4">
        <w:rPr>
          <w:rStyle w:val="FootnoteReference"/>
          <w:rFonts w:ascii="Times New Roman" w:hAnsi="Times New Roman" w:cs="Times New Roman"/>
          <w:sz w:val="24"/>
          <w:szCs w:val="24"/>
        </w:rPr>
        <w:footnoteReference w:id="409"/>
      </w:r>
      <w:r w:rsidR="00F145AB" w:rsidRPr="00F62BA4">
        <w:rPr>
          <w:rFonts w:ascii="Times New Roman" w:hAnsi="Times New Roman" w:cs="Times New Roman"/>
          <w:sz w:val="24"/>
          <w:szCs w:val="24"/>
        </w:rPr>
        <w:t>).</w:t>
      </w:r>
      <w:r w:rsidR="00DE6E14" w:rsidRPr="00F62BA4">
        <w:rPr>
          <w:rFonts w:ascii="Times New Roman" w:hAnsi="Times New Roman" w:cs="Times New Roman"/>
          <w:sz w:val="24"/>
          <w:szCs w:val="24"/>
        </w:rPr>
        <w:t xml:space="preserve"> In spite of the fairly limited political or ideological scope of their struggle, the RUF did engage in rebel governance.</w:t>
      </w:r>
    </w:p>
    <w:p w:rsidR="00F145AB" w:rsidRPr="00F62BA4" w:rsidRDefault="00F145AB" w:rsidP="00F32597">
      <w:pPr>
        <w:rPr>
          <w:rFonts w:ascii="Times New Roman" w:hAnsi="Times New Roman" w:cs="Times New Roman"/>
          <w:sz w:val="24"/>
          <w:szCs w:val="24"/>
        </w:rPr>
      </w:pPr>
      <w:r w:rsidRPr="00F62BA4">
        <w:rPr>
          <w:rFonts w:ascii="Times New Roman" w:hAnsi="Times New Roman" w:cs="Times New Roman"/>
          <w:sz w:val="24"/>
          <w:szCs w:val="24"/>
        </w:rPr>
        <w:lastRenderedPageBreak/>
        <w:tab/>
        <w:t xml:space="preserve">This </w:t>
      </w:r>
      <w:r w:rsidR="00DE6E14" w:rsidRPr="00F62BA4">
        <w:rPr>
          <w:rFonts w:ascii="Times New Roman" w:hAnsi="Times New Roman" w:cs="Times New Roman"/>
          <w:sz w:val="24"/>
          <w:szCs w:val="24"/>
        </w:rPr>
        <w:t>included</w:t>
      </w:r>
      <w:r w:rsidRPr="00F62BA4">
        <w:rPr>
          <w:rFonts w:ascii="Times New Roman" w:hAnsi="Times New Roman" w:cs="Times New Roman"/>
          <w:sz w:val="24"/>
          <w:szCs w:val="24"/>
        </w:rPr>
        <w:t xml:space="preserve"> to the provision of education and healthcare.</w:t>
      </w:r>
      <w:r w:rsidRPr="00F62BA4">
        <w:rPr>
          <w:rStyle w:val="FootnoteReference"/>
          <w:rFonts w:ascii="Times New Roman" w:hAnsi="Times New Roman" w:cs="Times New Roman"/>
          <w:sz w:val="24"/>
          <w:szCs w:val="24"/>
        </w:rPr>
        <w:footnoteReference w:id="410"/>
      </w:r>
      <w:r w:rsidR="000D1CEC" w:rsidRPr="00F62BA4">
        <w:rPr>
          <w:rFonts w:ascii="Times New Roman" w:hAnsi="Times New Roman" w:cs="Times New Roman"/>
          <w:sz w:val="24"/>
          <w:szCs w:val="24"/>
        </w:rPr>
        <w:t xml:space="preserve"> This is especially noteworthy given the desultory state of the government’s provision of both.</w:t>
      </w:r>
      <w:r w:rsidR="000D1CEC" w:rsidRPr="00F62BA4">
        <w:rPr>
          <w:rStyle w:val="FootnoteReference"/>
          <w:rFonts w:ascii="Times New Roman" w:hAnsi="Times New Roman" w:cs="Times New Roman"/>
          <w:sz w:val="24"/>
          <w:szCs w:val="24"/>
        </w:rPr>
        <w:footnoteReference w:id="411"/>
      </w:r>
      <w:r w:rsidR="000D1CEC" w:rsidRPr="00F62BA4">
        <w:rPr>
          <w:rFonts w:ascii="Times New Roman" w:hAnsi="Times New Roman" w:cs="Times New Roman"/>
          <w:sz w:val="24"/>
          <w:szCs w:val="24"/>
        </w:rPr>
        <w:t xml:space="preserve"> RUF provision of public goods was often interrupted due to lack of supplies (or loss of territory), though. Moreover, provision appears to have been of questionable quality even under the best circumstances. Regardless, beginning in 1994, the group appeared to have made arrangements to provide healthcare and education, something that the government struggled to achieve at the time.</w:t>
      </w:r>
    </w:p>
    <w:p w:rsidR="00DE6E14" w:rsidRPr="00F62BA4" w:rsidRDefault="00DE6E14" w:rsidP="00F32597">
      <w:pPr>
        <w:rPr>
          <w:rFonts w:ascii="Times New Roman" w:hAnsi="Times New Roman" w:cs="Times New Roman"/>
          <w:sz w:val="24"/>
          <w:szCs w:val="24"/>
        </w:rPr>
      </w:pPr>
      <w:r w:rsidRPr="00F62BA4">
        <w:rPr>
          <w:rFonts w:ascii="Times New Roman" w:hAnsi="Times New Roman" w:cs="Times New Roman"/>
          <w:sz w:val="24"/>
          <w:szCs w:val="24"/>
        </w:rPr>
        <w:tab/>
        <w:t xml:space="preserve">The RUF also provided mechanisms for </w:t>
      </w:r>
      <w:r w:rsidR="005B1032">
        <w:rPr>
          <w:rFonts w:ascii="Times New Roman" w:hAnsi="Times New Roman" w:cs="Times New Roman"/>
          <w:sz w:val="24"/>
          <w:szCs w:val="24"/>
        </w:rPr>
        <w:t>policing and juridical</w:t>
      </w:r>
      <w:r w:rsidRPr="00F62BA4">
        <w:rPr>
          <w:rFonts w:ascii="Times New Roman" w:hAnsi="Times New Roman" w:cs="Times New Roman"/>
          <w:sz w:val="24"/>
          <w:szCs w:val="24"/>
        </w:rPr>
        <w:t>, although their performance and purpose were both limited.</w:t>
      </w:r>
      <w:r w:rsidRPr="00F62BA4">
        <w:rPr>
          <w:rStyle w:val="FootnoteReference"/>
          <w:rFonts w:ascii="Times New Roman" w:hAnsi="Times New Roman" w:cs="Times New Roman"/>
          <w:sz w:val="24"/>
          <w:szCs w:val="24"/>
        </w:rPr>
        <w:footnoteReference w:id="412"/>
      </w:r>
      <w:r w:rsidRPr="00F62BA4">
        <w:rPr>
          <w:rFonts w:ascii="Times New Roman" w:hAnsi="Times New Roman" w:cs="Times New Roman"/>
          <w:sz w:val="24"/>
          <w:szCs w:val="24"/>
        </w:rPr>
        <w:t xml:space="preserve"> RUF policing included mechanisms for enforcing their brand of retributive justice between soldiers and from soldiers to civilians, but not between civilians. Furthermore, one of the more common punishments for bad behavior among the soldiers was to be sent to the front line, where predatory behavior could not be as easily monitored or curtailed. This, Krijn Peters argues, is one reason for the degree to which the RUF was guilty of monstrous abuses of the Sierra Leonean people. Additionally, as much as their adjudicative system was impressively transparent</w:t>
      </w:r>
      <w:r w:rsidR="001B5C11" w:rsidRPr="00F62BA4">
        <w:rPr>
          <w:rFonts w:ascii="Times New Roman" w:hAnsi="Times New Roman" w:cs="Times New Roman"/>
          <w:sz w:val="24"/>
          <w:szCs w:val="24"/>
        </w:rPr>
        <w:t xml:space="preserve"> and functional</w:t>
      </w:r>
      <w:r w:rsidRPr="00F62BA4">
        <w:rPr>
          <w:rFonts w:ascii="Times New Roman" w:hAnsi="Times New Roman" w:cs="Times New Roman"/>
          <w:sz w:val="24"/>
          <w:szCs w:val="24"/>
        </w:rPr>
        <w:t>,</w:t>
      </w:r>
      <w:r w:rsidR="001B5C11" w:rsidRPr="00F62BA4">
        <w:rPr>
          <w:rStyle w:val="FootnoteReference"/>
          <w:rFonts w:ascii="Times New Roman" w:hAnsi="Times New Roman" w:cs="Times New Roman"/>
          <w:sz w:val="24"/>
          <w:szCs w:val="24"/>
        </w:rPr>
        <w:footnoteReference w:id="413"/>
      </w:r>
      <w:r w:rsidRPr="00F62BA4">
        <w:rPr>
          <w:rFonts w:ascii="Times New Roman" w:hAnsi="Times New Roman" w:cs="Times New Roman"/>
          <w:sz w:val="24"/>
          <w:szCs w:val="24"/>
        </w:rPr>
        <w:t xml:space="preserve"> there was an important limit to punishments—the RUF was always short of manpower. Therefore, if an infraction was not serious enough to kill the perpetrator, then this perpetrator would remain in RUF’</w:t>
      </w:r>
      <w:r w:rsidR="00C75060" w:rsidRPr="00F62BA4">
        <w:rPr>
          <w:rFonts w:ascii="Times New Roman" w:hAnsi="Times New Roman" w:cs="Times New Roman"/>
          <w:sz w:val="24"/>
          <w:szCs w:val="24"/>
        </w:rPr>
        <w:t>s forces.</w:t>
      </w:r>
    </w:p>
    <w:p w:rsidR="00C75060" w:rsidRPr="00F62BA4" w:rsidRDefault="00C75060" w:rsidP="00F32597">
      <w:pPr>
        <w:rPr>
          <w:rFonts w:ascii="Times New Roman" w:hAnsi="Times New Roman" w:cs="Times New Roman"/>
          <w:sz w:val="24"/>
          <w:szCs w:val="24"/>
        </w:rPr>
      </w:pPr>
      <w:r w:rsidRPr="00F62BA4">
        <w:rPr>
          <w:rFonts w:ascii="Times New Roman" w:hAnsi="Times New Roman" w:cs="Times New Roman"/>
          <w:sz w:val="24"/>
          <w:szCs w:val="24"/>
        </w:rPr>
        <w:tab/>
        <w:t>The input from civilians was quite limited, in spite of their democratizing rhetoric.</w:t>
      </w:r>
      <w:r w:rsidR="00A60344" w:rsidRPr="00F62BA4">
        <w:rPr>
          <w:rStyle w:val="FootnoteReference"/>
          <w:rFonts w:ascii="Times New Roman" w:hAnsi="Times New Roman" w:cs="Times New Roman"/>
          <w:sz w:val="24"/>
          <w:szCs w:val="24"/>
        </w:rPr>
        <w:footnoteReference w:id="414"/>
      </w:r>
      <w:r w:rsidRPr="00F62BA4">
        <w:rPr>
          <w:rFonts w:ascii="Times New Roman" w:hAnsi="Times New Roman" w:cs="Times New Roman"/>
          <w:sz w:val="24"/>
          <w:szCs w:val="24"/>
        </w:rPr>
        <w:t xml:space="preserve"> Civilians were far more likely to be targeted as suspected supporters of the Sierra Leonean government than to be asked for input in policymaking.</w:t>
      </w:r>
      <w:r w:rsidRPr="00F62BA4">
        <w:rPr>
          <w:rStyle w:val="FootnoteReference"/>
          <w:rFonts w:ascii="Times New Roman" w:hAnsi="Times New Roman" w:cs="Times New Roman"/>
          <w:sz w:val="24"/>
          <w:szCs w:val="24"/>
        </w:rPr>
        <w:footnoteReference w:id="415"/>
      </w:r>
      <w:r w:rsidRPr="00F62BA4">
        <w:rPr>
          <w:rFonts w:ascii="Times New Roman" w:hAnsi="Times New Roman" w:cs="Times New Roman"/>
          <w:sz w:val="24"/>
          <w:szCs w:val="24"/>
        </w:rPr>
        <w:t xml:space="preserve"> The exception appears to have been the recruitment of interlocutors between civilian and military actors. Occasionally, civilians would be asked to name fighters who would make good “G5” officers, an element of RUF policing which specifically dealt with grievances between soldiers and civilians.</w:t>
      </w:r>
    </w:p>
    <w:p w:rsidR="009E4ED4" w:rsidRPr="00F62BA4" w:rsidRDefault="009E4ED4" w:rsidP="00F32597">
      <w:pPr>
        <w:rPr>
          <w:rFonts w:ascii="Times New Roman" w:hAnsi="Times New Roman" w:cs="Times New Roman"/>
          <w:b/>
          <w:sz w:val="24"/>
          <w:szCs w:val="24"/>
        </w:rPr>
      </w:pPr>
      <w:r w:rsidRPr="00F62BA4">
        <w:rPr>
          <w:rFonts w:ascii="Times New Roman" w:hAnsi="Times New Roman" w:cs="Times New Roman"/>
          <w:b/>
          <w:sz w:val="24"/>
          <w:szCs w:val="24"/>
        </w:rPr>
        <w:t>Sierra Leone (1997-1999)</w:t>
      </w:r>
    </w:p>
    <w:p w:rsidR="007A2451" w:rsidRPr="00F62BA4" w:rsidRDefault="009E4ED4" w:rsidP="00F32597">
      <w:pPr>
        <w:rPr>
          <w:rFonts w:ascii="Times New Roman" w:hAnsi="Times New Roman" w:cs="Times New Roman"/>
          <w:sz w:val="24"/>
          <w:szCs w:val="24"/>
        </w:rPr>
      </w:pPr>
      <w:r w:rsidRPr="00F62BA4">
        <w:rPr>
          <w:rFonts w:ascii="Times New Roman" w:hAnsi="Times New Roman" w:cs="Times New Roman"/>
          <w:sz w:val="24"/>
          <w:szCs w:val="24"/>
        </w:rPr>
        <w:t>Rebels / Incumbents:</w:t>
      </w:r>
      <w:r w:rsidR="009C365B" w:rsidRPr="00F62BA4">
        <w:rPr>
          <w:rFonts w:ascii="Times New Roman" w:hAnsi="Times New Roman" w:cs="Times New Roman"/>
          <w:sz w:val="24"/>
          <w:szCs w:val="24"/>
        </w:rPr>
        <w:t xml:space="preserve"> RUF</w:t>
      </w:r>
      <w:r w:rsidR="00EC19D1" w:rsidRPr="00F62BA4">
        <w:rPr>
          <w:rFonts w:ascii="Times New Roman" w:hAnsi="Times New Roman" w:cs="Times New Roman"/>
          <w:sz w:val="24"/>
          <w:szCs w:val="24"/>
        </w:rPr>
        <w:t>, AFRC</w:t>
      </w:r>
      <w:r w:rsidR="009C365B" w:rsidRPr="00F62BA4">
        <w:rPr>
          <w:rFonts w:ascii="Times New Roman" w:hAnsi="Times New Roman" w:cs="Times New Roman"/>
          <w:sz w:val="24"/>
          <w:szCs w:val="24"/>
        </w:rPr>
        <w:t xml:space="preserve"> / Sierra Leone</w:t>
      </w:r>
      <w:r w:rsidR="00EC19D1" w:rsidRPr="00F62BA4">
        <w:rPr>
          <w:rFonts w:ascii="Times New Roman" w:hAnsi="Times New Roman" w:cs="Times New Roman"/>
          <w:sz w:val="24"/>
          <w:szCs w:val="24"/>
        </w:rPr>
        <w:t>, ECOMOG</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70349F" w:rsidRPr="00F62BA4" w:rsidRDefault="00EC19D1" w:rsidP="00F32597">
      <w:pPr>
        <w:rPr>
          <w:rFonts w:ascii="Times New Roman" w:hAnsi="Times New Roman" w:cs="Times New Roman"/>
          <w:sz w:val="24"/>
          <w:szCs w:val="24"/>
          <w:lang w:val="en"/>
        </w:rPr>
      </w:pPr>
      <w:r w:rsidRPr="00F62BA4">
        <w:rPr>
          <w:rFonts w:ascii="Times New Roman" w:hAnsi="Times New Roman" w:cs="Times New Roman"/>
          <w:sz w:val="24"/>
          <w:szCs w:val="24"/>
        </w:rPr>
        <w:tab/>
        <w:t>Sierra Leone’s first and second civil wars happened in quick succession. Dissatisfied SLA officers executed a coup, establishing the Armed Forces Revolutionary Council (AFRC) in May of 1997.</w:t>
      </w:r>
      <w:r w:rsidRPr="00F62BA4">
        <w:rPr>
          <w:rStyle w:val="FootnoteReference"/>
          <w:rFonts w:ascii="Times New Roman" w:hAnsi="Times New Roman" w:cs="Times New Roman"/>
          <w:sz w:val="24"/>
          <w:szCs w:val="24"/>
        </w:rPr>
        <w:footnoteReference w:id="416"/>
      </w:r>
      <w:r w:rsidRPr="00F62BA4">
        <w:rPr>
          <w:rFonts w:ascii="Times New Roman" w:hAnsi="Times New Roman" w:cs="Times New Roman"/>
          <w:sz w:val="24"/>
          <w:szCs w:val="24"/>
        </w:rPr>
        <w:t xml:space="preserve"> Originally incorporating the RUF into the fold, the AFRC sought to overturn the elected civilian government. </w:t>
      </w:r>
      <w:r w:rsidRPr="00F62BA4">
        <w:rPr>
          <w:rFonts w:ascii="Times New Roman" w:hAnsi="Times New Roman" w:cs="Times New Roman"/>
          <w:sz w:val="24"/>
          <w:szCs w:val="24"/>
          <w:lang w:val="en"/>
        </w:rPr>
        <w:t xml:space="preserve">Economic Community of West African States Monitoring Group </w:t>
      </w:r>
      <w:r w:rsidRPr="00F62BA4">
        <w:rPr>
          <w:rFonts w:ascii="Times New Roman" w:hAnsi="Times New Roman" w:cs="Times New Roman"/>
          <w:sz w:val="24"/>
          <w:szCs w:val="24"/>
          <w:lang w:val="en"/>
        </w:rPr>
        <w:lastRenderedPageBreak/>
        <w:t xml:space="preserve">(ECOMOG) forces </w:t>
      </w:r>
      <w:r w:rsidR="00880E90" w:rsidRPr="00F62BA4">
        <w:rPr>
          <w:rFonts w:ascii="Times New Roman" w:hAnsi="Times New Roman" w:cs="Times New Roman"/>
          <w:sz w:val="24"/>
          <w:szCs w:val="24"/>
          <w:lang w:val="en"/>
        </w:rPr>
        <w:t>intervened on their behalf, eventually leading to the AFRC’s defeat in the capital of Freetown in 1998.</w:t>
      </w:r>
      <w:r w:rsidR="00880E90" w:rsidRPr="00F62BA4">
        <w:rPr>
          <w:rStyle w:val="FootnoteReference"/>
          <w:rFonts w:ascii="Times New Roman" w:hAnsi="Times New Roman" w:cs="Times New Roman"/>
          <w:sz w:val="24"/>
          <w:szCs w:val="24"/>
          <w:lang w:val="en"/>
        </w:rPr>
        <w:footnoteReference w:id="417"/>
      </w:r>
    </w:p>
    <w:p w:rsidR="007A2451" w:rsidRPr="00F62BA4" w:rsidRDefault="007A2451" w:rsidP="00F32597">
      <w:pPr>
        <w:rPr>
          <w:rFonts w:ascii="Times New Roman" w:hAnsi="Times New Roman" w:cs="Times New Roman"/>
          <w:sz w:val="24"/>
          <w:szCs w:val="24"/>
        </w:rPr>
      </w:pPr>
      <w:r w:rsidRPr="00F62BA4">
        <w:rPr>
          <w:rFonts w:ascii="Times New Roman" w:hAnsi="Times New Roman" w:cs="Times New Roman"/>
          <w:sz w:val="24"/>
          <w:szCs w:val="24"/>
        </w:rPr>
        <w:tab/>
        <w:t xml:space="preserve">This second chapter of the conflict saw the limited </w:t>
      </w:r>
      <w:r w:rsidR="005B1032">
        <w:rPr>
          <w:rFonts w:ascii="Times New Roman" w:hAnsi="Times New Roman" w:cs="Times New Roman"/>
          <w:sz w:val="24"/>
          <w:szCs w:val="24"/>
        </w:rPr>
        <w:t>policing and juridical</w:t>
      </w:r>
      <w:r w:rsidR="00E30ACD" w:rsidRPr="00F62BA4">
        <w:rPr>
          <w:rFonts w:ascii="Times New Roman" w:hAnsi="Times New Roman" w:cs="Times New Roman"/>
          <w:sz w:val="24"/>
          <w:szCs w:val="24"/>
        </w:rPr>
        <w:t xml:space="preserve"> mechanisms effectively collapse</w:t>
      </w:r>
      <w:r w:rsidRPr="00F62BA4">
        <w:rPr>
          <w:rFonts w:ascii="Times New Roman" w:hAnsi="Times New Roman" w:cs="Times New Roman"/>
          <w:sz w:val="24"/>
          <w:szCs w:val="24"/>
        </w:rPr>
        <w:t>.</w:t>
      </w:r>
      <w:r w:rsidR="00E30ACD" w:rsidRPr="00F62BA4">
        <w:rPr>
          <w:rStyle w:val="FootnoteReference"/>
          <w:rFonts w:ascii="Times New Roman" w:hAnsi="Times New Roman" w:cs="Times New Roman"/>
          <w:sz w:val="24"/>
          <w:szCs w:val="24"/>
        </w:rPr>
        <w:footnoteReference w:id="418"/>
      </w:r>
      <w:r w:rsidRPr="00F62BA4">
        <w:rPr>
          <w:rFonts w:ascii="Times New Roman" w:hAnsi="Times New Roman" w:cs="Times New Roman"/>
          <w:sz w:val="24"/>
          <w:szCs w:val="24"/>
        </w:rPr>
        <w:t xml:space="preserve"> Even though G5 agents maintained their positions, responsibilities, and de jure authority, soldiers who had already committed atrocities against civilians began threatening officers who tried to enforce RUF discipline. Thus, even though the institutions remained, th</w:t>
      </w:r>
      <w:r w:rsidR="00E30ACD" w:rsidRPr="00F62BA4">
        <w:rPr>
          <w:rFonts w:ascii="Times New Roman" w:hAnsi="Times New Roman" w:cs="Times New Roman"/>
          <w:sz w:val="24"/>
          <w:szCs w:val="24"/>
        </w:rPr>
        <w:t>eir function all but evaporated by the end of the conflict.</w:t>
      </w:r>
    </w:p>
    <w:p w:rsidR="007A2451" w:rsidRPr="00F62BA4" w:rsidRDefault="007A2451" w:rsidP="00F32597">
      <w:pPr>
        <w:rPr>
          <w:rFonts w:ascii="Times New Roman" w:hAnsi="Times New Roman" w:cs="Times New Roman"/>
          <w:sz w:val="24"/>
          <w:szCs w:val="24"/>
        </w:rPr>
      </w:pPr>
      <w:r w:rsidRPr="00F62BA4">
        <w:rPr>
          <w:rFonts w:ascii="Times New Roman" w:hAnsi="Times New Roman" w:cs="Times New Roman"/>
          <w:sz w:val="24"/>
          <w:szCs w:val="24"/>
        </w:rPr>
        <w:tab/>
        <w:t>The same could not be said for public good provision. If anything, RUF territory saw much improved health and education provision, at least at the start of the second conflict.</w:t>
      </w:r>
      <w:r w:rsidR="00B65EF9" w:rsidRPr="00F62BA4">
        <w:rPr>
          <w:rStyle w:val="FootnoteReference"/>
          <w:rFonts w:ascii="Times New Roman" w:hAnsi="Times New Roman" w:cs="Times New Roman"/>
          <w:sz w:val="24"/>
          <w:szCs w:val="24"/>
        </w:rPr>
        <w:footnoteReference w:id="419"/>
      </w:r>
      <w:r w:rsidRPr="00F62BA4">
        <w:rPr>
          <w:rFonts w:ascii="Times New Roman" w:hAnsi="Times New Roman" w:cs="Times New Roman"/>
          <w:sz w:val="24"/>
          <w:szCs w:val="24"/>
        </w:rPr>
        <w:t xml:space="preserve"> This diminished towards the conflict’s end, though; as RUF saw its non-looting sources of funding dry up and its controlled territory shrink, the provision of healthcare and education suffered, especially outside of </w:t>
      </w:r>
      <w:r w:rsidR="00B65EF9" w:rsidRPr="00F62BA4">
        <w:rPr>
          <w:rFonts w:ascii="Times New Roman" w:hAnsi="Times New Roman" w:cs="Times New Roman"/>
          <w:sz w:val="24"/>
          <w:szCs w:val="24"/>
        </w:rPr>
        <w:t>the Kailahun district</w:t>
      </w:r>
      <w:r w:rsidRPr="00F62BA4">
        <w:rPr>
          <w:rFonts w:ascii="Times New Roman" w:hAnsi="Times New Roman" w:cs="Times New Roman"/>
          <w:sz w:val="24"/>
          <w:szCs w:val="24"/>
        </w:rPr>
        <w:t>.</w:t>
      </w:r>
      <w:r w:rsidR="00B65EF9" w:rsidRPr="00F62BA4">
        <w:rPr>
          <w:rFonts w:ascii="Times New Roman" w:hAnsi="Times New Roman" w:cs="Times New Roman"/>
          <w:sz w:val="24"/>
          <w:szCs w:val="24"/>
        </w:rPr>
        <w:t xml:space="preserve"> This lack of resources was especially problematic for healthcare provision. By the end of the conflict, RUF healthcare had all but disappeared.</w:t>
      </w:r>
    </w:p>
    <w:p w:rsidR="007A2451" w:rsidRPr="00F62BA4" w:rsidRDefault="007A2451" w:rsidP="00F32597">
      <w:pPr>
        <w:rPr>
          <w:rFonts w:ascii="Times New Roman" w:hAnsi="Times New Roman" w:cs="Times New Roman"/>
          <w:sz w:val="24"/>
          <w:szCs w:val="24"/>
        </w:rPr>
      </w:pPr>
      <w:r w:rsidRPr="00F62BA4">
        <w:rPr>
          <w:rFonts w:ascii="Times New Roman" w:hAnsi="Times New Roman" w:cs="Times New Roman"/>
          <w:sz w:val="24"/>
          <w:szCs w:val="24"/>
        </w:rPr>
        <w:tab/>
        <w:t>Once again, while the rebels acted as rulers, they did little to elicit input from their subjects.</w:t>
      </w:r>
      <w:r w:rsidR="005829D2" w:rsidRPr="00F62BA4">
        <w:rPr>
          <w:rFonts w:ascii="Times New Roman" w:hAnsi="Times New Roman" w:cs="Times New Roman"/>
          <w:sz w:val="24"/>
          <w:szCs w:val="24"/>
        </w:rPr>
        <w:t xml:space="preserve"> While atrocities were much rarer deep into RUF territory—where monitoring was still possible—there were no formal auspices under which civilians could impact policy decisions.</w:t>
      </w:r>
      <w:r w:rsidR="005829D2" w:rsidRPr="00F62BA4">
        <w:rPr>
          <w:rStyle w:val="FootnoteReference"/>
          <w:rFonts w:ascii="Times New Roman" w:hAnsi="Times New Roman" w:cs="Times New Roman"/>
          <w:sz w:val="24"/>
          <w:szCs w:val="24"/>
        </w:rPr>
        <w:footnoteReference w:id="420"/>
      </w:r>
      <w:r w:rsidR="005829D2" w:rsidRPr="00F62BA4">
        <w:rPr>
          <w:rFonts w:ascii="Times New Roman" w:hAnsi="Times New Roman" w:cs="Times New Roman"/>
          <w:sz w:val="24"/>
          <w:szCs w:val="24"/>
        </w:rPr>
        <w:t xml:space="preserve"> The most one could hope for in these territories would be forming a relationship with members of RUF who could ensure one’s safety deep in RUF territory.</w:t>
      </w:r>
      <w:r w:rsidR="00A60344" w:rsidRPr="00F62BA4">
        <w:rPr>
          <w:rFonts w:ascii="Times New Roman" w:hAnsi="Times New Roman" w:cs="Times New Roman"/>
          <w:sz w:val="24"/>
          <w:szCs w:val="24"/>
        </w:rPr>
        <w:t xml:space="preserve"> </w:t>
      </w:r>
    </w:p>
    <w:p w:rsidR="009E4ED4" w:rsidRPr="00F62BA4" w:rsidRDefault="009E4ED4" w:rsidP="00F32597">
      <w:pPr>
        <w:rPr>
          <w:rFonts w:ascii="Times New Roman" w:hAnsi="Times New Roman" w:cs="Times New Roman"/>
          <w:b/>
          <w:sz w:val="24"/>
          <w:szCs w:val="24"/>
        </w:rPr>
      </w:pPr>
      <w:r w:rsidRPr="00F62BA4">
        <w:rPr>
          <w:rFonts w:ascii="Times New Roman" w:hAnsi="Times New Roman" w:cs="Times New Roman"/>
          <w:b/>
          <w:sz w:val="24"/>
          <w:szCs w:val="24"/>
        </w:rPr>
        <w:t>Sierra Leone (2000-2001)</w:t>
      </w:r>
    </w:p>
    <w:p w:rsidR="009E4ED4" w:rsidRPr="00F62BA4" w:rsidRDefault="009E4ED4" w:rsidP="009E4ED4">
      <w:pPr>
        <w:rPr>
          <w:rFonts w:ascii="Times New Roman" w:hAnsi="Times New Roman" w:cs="Times New Roman"/>
          <w:sz w:val="24"/>
          <w:szCs w:val="24"/>
        </w:rPr>
      </w:pPr>
      <w:r w:rsidRPr="00F62BA4">
        <w:rPr>
          <w:rFonts w:ascii="Times New Roman" w:hAnsi="Times New Roman" w:cs="Times New Roman"/>
          <w:sz w:val="24"/>
          <w:szCs w:val="24"/>
        </w:rPr>
        <w:t>Rebels / Incumbents:</w:t>
      </w:r>
      <w:r w:rsidR="00AD21E5" w:rsidRPr="00F62BA4">
        <w:rPr>
          <w:rFonts w:ascii="Times New Roman" w:hAnsi="Times New Roman" w:cs="Times New Roman"/>
          <w:sz w:val="24"/>
          <w:szCs w:val="24"/>
        </w:rPr>
        <w:t xml:space="preserve"> RUF / Sierra Leone</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487317" w:rsidRPr="00F62BA4" w:rsidRDefault="00487317" w:rsidP="009E4ED4">
      <w:pPr>
        <w:rPr>
          <w:rFonts w:ascii="Times New Roman" w:hAnsi="Times New Roman" w:cs="Times New Roman"/>
          <w:sz w:val="24"/>
          <w:szCs w:val="24"/>
        </w:rPr>
      </w:pPr>
      <w:r w:rsidRPr="00F62BA4">
        <w:rPr>
          <w:rFonts w:ascii="Times New Roman" w:hAnsi="Times New Roman" w:cs="Times New Roman"/>
          <w:sz w:val="24"/>
          <w:szCs w:val="24"/>
        </w:rPr>
        <w:tab/>
        <w:t>The third and final chapter of the Sierra Leonean civil war</w:t>
      </w:r>
      <w:r w:rsidR="00A60344" w:rsidRPr="00F62BA4">
        <w:rPr>
          <w:rFonts w:ascii="Times New Roman" w:hAnsi="Times New Roman" w:cs="Times New Roman"/>
          <w:sz w:val="24"/>
          <w:szCs w:val="24"/>
        </w:rPr>
        <w:t xml:space="preserve"> in this dataset comes shortly af</w:t>
      </w:r>
      <w:r w:rsidR="000C2901" w:rsidRPr="00F62BA4">
        <w:rPr>
          <w:rFonts w:ascii="Times New Roman" w:hAnsi="Times New Roman" w:cs="Times New Roman"/>
          <w:sz w:val="24"/>
          <w:szCs w:val="24"/>
        </w:rPr>
        <w:t>ter the end of the previous one with the collapse of the Lomé Accord.</w:t>
      </w:r>
      <w:r w:rsidR="000C2901" w:rsidRPr="00F62BA4">
        <w:rPr>
          <w:rStyle w:val="FootnoteReference"/>
          <w:rFonts w:ascii="Times New Roman" w:hAnsi="Times New Roman" w:cs="Times New Roman"/>
          <w:sz w:val="24"/>
          <w:szCs w:val="24"/>
        </w:rPr>
        <w:footnoteReference w:id="421"/>
      </w:r>
      <w:r w:rsidR="008B6FF7" w:rsidRPr="00F62BA4">
        <w:rPr>
          <w:rFonts w:ascii="Times New Roman" w:hAnsi="Times New Roman" w:cs="Times New Roman"/>
          <w:sz w:val="24"/>
          <w:szCs w:val="24"/>
        </w:rPr>
        <w:t xml:space="preserve"> With the support of Liberian President Charles Taylor, RUF resumed its war against Sierra Leone,</w:t>
      </w:r>
      <w:r w:rsidR="008B6FF7" w:rsidRPr="00F62BA4">
        <w:rPr>
          <w:rStyle w:val="FootnoteReference"/>
          <w:rFonts w:ascii="Times New Roman" w:hAnsi="Times New Roman" w:cs="Times New Roman"/>
          <w:sz w:val="24"/>
          <w:szCs w:val="24"/>
        </w:rPr>
        <w:footnoteReference w:id="422"/>
      </w:r>
      <w:r w:rsidR="008B6FF7" w:rsidRPr="00F62BA4">
        <w:rPr>
          <w:rFonts w:ascii="Times New Roman" w:hAnsi="Times New Roman" w:cs="Times New Roman"/>
          <w:sz w:val="24"/>
          <w:szCs w:val="24"/>
        </w:rPr>
        <w:t xml:space="preserve"> having used the brief peace to recover.</w:t>
      </w:r>
      <w:r w:rsidR="0073597F" w:rsidRPr="00F62BA4">
        <w:rPr>
          <w:rStyle w:val="FootnoteReference"/>
          <w:rFonts w:ascii="Times New Roman" w:hAnsi="Times New Roman" w:cs="Times New Roman"/>
          <w:sz w:val="24"/>
          <w:szCs w:val="24"/>
        </w:rPr>
        <w:footnoteReference w:id="423"/>
      </w:r>
      <w:r w:rsidR="0073597F" w:rsidRPr="00F62BA4">
        <w:rPr>
          <w:rFonts w:ascii="Times New Roman" w:hAnsi="Times New Roman" w:cs="Times New Roman"/>
          <w:sz w:val="24"/>
          <w:szCs w:val="24"/>
        </w:rPr>
        <w:t xml:space="preserve"> This time, however, the war ended relatively quickly, as RUF’s prospects for survival dwindled, a negotiated end to hostilities became the only tenable option.</w:t>
      </w:r>
    </w:p>
    <w:p w:rsidR="0073597F" w:rsidRPr="00F62BA4" w:rsidRDefault="0073597F" w:rsidP="009E4ED4">
      <w:pPr>
        <w:rPr>
          <w:rFonts w:ascii="Times New Roman" w:hAnsi="Times New Roman" w:cs="Times New Roman"/>
          <w:sz w:val="24"/>
          <w:szCs w:val="24"/>
        </w:rPr>
      </w:pPr>
      <w:r w:rsidRPr="00F62BA4">
        <w:rPr>
          <w:rFonts w:ascii="Times New Roman" w:hAnsi="Times New Roman" w:cs="Times New Roman"/>
          <w:sz w:val="24"/>
          <w:szCs w:val="24"/>
        </w:rPr>
        <w:tab/>
        <w:t>RUF’s governance rested on the willingness of its leadership to commit to its supposed political objectives. By the third chapter of the conflict, this had evaporated. While the group had previously set up means of providing services similar to that of a functioning state, the third chapter of the conflict saw provision replaced by predation. For instance, as resources dwindled, civilians were increasingly pressed into service as diamond miners.</w:t>
      </w:r>
      <w:r w:rsidRPr="00F62BA4">
        <w:rPr>
          <w:rStyle w:val="FootnoteReference"/>
          <w:rFonts w:ascii="Times New Roman" w:hAnsi="Times New Roman" w:cs="Times New Roman"/>
          <w:sz w:val="24"/>
          <w:szCs w:val="24"/>
        </w:rPr>
        <w:footnoteReference w:id="424"/>
      </w:r>
      <w:r w:rsidRPr="00F62BA4">
        <w:rPr>
          <w:rFonts w:ascii="Times New Roman" w:hAnsi="Times New Roman" w:cs="Times New Roman"/>
          <w:sz w:val="24"/>
          <w:szCs w:val="24"/>
        </w:rPr>
        <w:t xml:space="preserve"> This reflects the apparent </w:t>
      </w:r>
      <w:r w:rsidRPr="00F62BA4">
        <w:rPr>
          <w:rFonts w:ascii="Times New Roman" w:hAnsi="Times New Roman" w:cs="Times New Roman"/>
          <w:sz w:val="24"/>
          <w:szCs w:val="24"/>
        </w:rPr>
        <w:lastRenderedPageBreak/>
        <w:t>loss of anything resembling a coherent ideology among the rank and file soldiers, particularly those who were recent recruits at this stage.</w:t>
      </w:r>
      <w:r w:rsidRPr="00F62BA4">
        <w:rPr>
          <w:rStyle w:val="FootnoteReference"/>
          <w:rFonts w:ascii="Times New Roman" w:hAnsi="Times New Roman" w:cs="Times New Roman"/>
          <w:sz w:val="24"/>
          <w:szCs w:val="24"/>
        </w:rPr>
        <w:footnoteReference w:id="425"/>
      </w:r>
    </w:p>
    <w:p w:rsidR="00B25AB0" w:rsidRPr="00F62BA4" w:rsidRDefault="00B25AB0" w:rsidP="009E4ED4">
      <w:pPr>
        <w:rPr>
          <w:rFonts w:ascii="Times New Roman" w:hAnsi="Times New Roman" w:cs="Times New Roman"/>
          <w:sz w:val="24"/>
          <w:szCs w:val="24"/>
        </w:rPr>
      </w:pPr>
      <w:r w:rsidRPr="00F62BA4">
        <w:rPr>
          <w:rFonts w:ascii="Times New Roman" w:hAnsi="Times New Roman" w:cs="Times New Roman"/>
          <w:sz w:val="24"/>
          <w:szCs w:val="24"/>
        </w:rPr>
        <w:tab/>
        <w:t>Little remained of RUF’s efforts to establish a parallel society by the time this third chapter had begun. There were still some who attempted to maintain previous levels of service provision, resource scarcity made this extremely difficult.</w:t>
      </w:r>
      <w:r w:rsidRPr="00F62BA4">
        <w:rPr>
          <w:rStyle w:val="FootnoteReference"/>
          <w:rFonts w:ascii="Times New Roman" w:hAnsi="Times New Roman" w:cs="Times New Roman"/>
          <w:sz w:val="24"/>
          <w:szCs w:val="24"/>
        </w:rPr>
        <w:footnoteReference w:id="426"/>
      </w:r>
      <w:r w:rsidRPr="00F62BA4">
        <w:rPr>
          <w:rFonts w:ascii="Times New Roman" w:hAnsi="Times New Roman" w:cs="Times New Roman"/>
          <w:sz w:val="24"/>
          <w:szCs w:val="24"/>
        </w:rPr>
        <w:t xml:space="preserve"> By conflict’s end, RUF was little more than a predatory group of bandits, securing what rents could be had by fighting on.</w:t>
      </w:r>
    </w:p>
    <w:p w:rsidR="00854BD8" w:rsidRDefault="00854BD8" w:rsidP="006D0328">
      <w:pPr>
        <w:rPr>
          <w:rFonts w:ascii="Times New Roman" w:hAnsi="Times New Roman" w:cs="Times New Roman"/>
          <w:b/>
          <w:sz w:val="24"/>
          <w:szCs w:val="24"/>
        </w:rPr>
      </w:pPr>
      <w:r>
        <w:rPr>
          <w:rFonts w:ascii="Times New Roman" w:hAnsi="Times New Roman" w:cs="Times New Roman"/>
          <w:b/>
          <w:sz w:val="24"/>
          <w:szCs w:val="24"/>
        </w:rPr>
        <w:t>South Africa (1983-1994)</w:t>
      </w:r>
    </w:p>
    <w:p w:rsidR="00854BD8" w:rsidRDefault="00854BD8" w:rsidP="006D0328">
      <w:pPr>
        <w:rPr>
          <w:rFonts w:ascii="Times New Roman" w:hAnsi="Times New Roman" w:cs="Times New Roman"/>
          <w:sz w:val="24"/>
          <w:szCs w:val="24"/>
        </w:rPr>
      </w:pPr>
      <w:r>
        <w:rPr>
          <w:rFonts w:ascii="Times New Roman" w:hAnsi="Times New Roman" w:cs="Times New Roman"/>
          <w:sz w:val="24"/>
          <w:szCs w:val="24"/>
        </w:rPr>
        <w:t>Rebels / Incumbents: African National Congress</w:t>
      </w:r>
      <w:r w:rsidR="00570422">
        <w:rPr>
          <w:rFonts w:ascii="Times New Roman" w:hAnsi="Times New Roman" w:cs="Times New Roman"/>
          <w:sz w:val="24"/>
          <w:szCs w:val="24"/>
        </w:rPr>
        <w:t xml:space="preserve"> (ANC), United Democratic Front (UDF)</w:t>
      </w:r>
      <w:r>
        <w:rPr>
          <w:rFonts w:ascii="Times New Roman" w:hAnsi="Times New Roman" w:cs="Times New Roman"/>
          <w:sz w:val="24"/>
          <w:szCs w:val="24"/>
        </w:rPr>
        <w:t xml:space="preserve"> / South Africa</w:t>
      </w:r>
      <w:r w:rsidR="009F08FB">
        <w:rPr>
          <w:rFonts w:ascii="Times New Roman" w:hAnsi="Times New Roman" w:cs="Times New Roman"/>
          <w:sz w:val="24"/>
          <w:szCs w:val="24"/>
        </w:rPr>
        <w:t xml:space="preserve"> Defense Force (SADF), South Africa</w:t>
      </w:r>
    </w:p>
    <w:p w:rsidR="00D9746E"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Pr>
          <w:rFonts w:ascii="Times New Roman" w:hAnsi="Times New Roman" w:cs="Times New Roman"/>
          <w:b/>
          <w:sz w:val="24"/>
          <w:szCs w:val="24"/>
        </w:rPr>
        <w:t xml:space="preserve">: </w:t>
      </w:r>
      <w:r w:rsidR="003B5F0A">
        <w:rPr>
          <w:rFonts w:ascii="Times New Roman" w:hAnsi="Times New Roman" w:cs="Times New Roman"/>
          <w:b/>
          <w:sz w:val="24"/>
          <w:szCs w:val="24"/>
        </w:rPr>
        <w:t>2</w:t>
      </w:r>
      <w:r w:rsidR="00D9746E">
        <w:rPr>
          <w:rFonts w:ascii="Times New Roman" w:hAnsi="Times New Roman" w:cs="Times New Roman"/>
          <w:b/>
          <w:sz w:val="24"/>
          <w:szCs w:val="24"/>
        </w:rPr>
        <w:t xml:space="preserve">; Public Goods: </w:t>
      </w:r>
      <w:r w:rsidR="003B5F0A">
        <w:rPr>
          <w:rFonts w:ascii="Times New Roman" w:hAnsi="Times New Roman" w:cs="Times New Roman"/>
          <w:b/>
          <w:sz w:val="24"/>
          <w:szCs w:val="24"/>
        </w:rPr>
        <w:t>2</w:t>
      </w:r>
      <w:r w:rsidR="00D9746E">
        <w:rPr>
          <w:rFonts w:ascii="Times New Roman" w:hAnsi="Times New Roman" w:cs="Times New Roman"/>
          <w:b/>
          <w:sz w:val="24"/>
          <w:szCs w:val="24"/>
        </w:rPr>
        <w:t xml:space="preserve">; </w:t>
      </w:r>
      <w:r>
        <w:rPr>
          <w:rFonts w:ascii="Times New Roman" w:hAnsi="Times New Roman" w:cs="Times New Roman"/>
          <w:b/>
          <w:sz w:val="24"/>
          <w:szCs w:val="24"/>
        </w:rPr>
        <w:t>Consultative instruments</w:t>
      </w:r>
      <w:r w:rsidR="00D9746E">
        <w:rPr>
          <w:rFonts w:ascii="Times New Roman" w:hAnsi="Times New Roman" w:cs="Times New Roman"/>
          <w:b/>
          <w:sz w:val="24"/>
          <w:szCs w:val="24"/>
        </w:rPr>
        <w:t xml:space="preserve">: </w:t>
      </w:r>
      <w:r w:rsidR="003B5F0A">
        <w:rPr>
          <w:rFonts w:ascii="Times New Roman" w:hAnsi="Times New Roman" w:cs="Times New Roman"/>
          <w:b/>
          <w:sz w:val="24"/>
          <w:szCs w:val="24"/>
        </w:rPr>
        <w:t>2</w:t>
      </w:r>
    </w:p>
    <w:p w:rsidR="00B31310" w:rsidRDefault="009F08FB" w:rsidP="006D0328">
      <w:pPr>
        <w:rPr>
          <w:rFonts w:ascii="Times New Roman" w:hAnsi="Times New Roman" w:cs="Times New Roman"/>
          <w:sz w:val="24"/>
          <w:szCs w:val="24"/>
        </w:rPr>
      </w:pPr>
      <w:r>
        <w:rPr>
          <w:rFonts w:ascii="Times New Roman" w:hAnsi="Times New Roman" w:cs="Times New Roman"/>
          <w:sz w:val="24"/>
          <w:szCs w:val="24"/>
        </w:rPr>
        <w:tab/>
        <w:t>The South African civil war was a conflict brought on by discontent at the profound discrimination brought on by Apartheid policies. In response to the willingness to resort to violence on the part of the ANC, SADF engaged in open warfare.</w:t>
      </w:r>
      <w:r>
        <w:rPr>
          <w:rStyle w:val="FootnoteReference"/>
          <w:rFonts w:ascii="Times New Roman" w:hAnsi="Times New Roman" w:cs="Times New Roman"/>
          <w:sz w:val="24"/>
          <w:szCs w:val="24"/>
        </w:rPr>
        <w:footnoteReference w:id="427"/>
      </w:r>
      <w:r>
        <w:rPr>
          <w:rFonts w:ascii="Times New Roman" w:hAnsi="Times New Roman" w:cs="Times New Roman"/>
          <w:sz w:val="24"/>
          <w:szCs w:val="24"/>
        </w:rPr>
        <w:t xml:space="preserve"> </w:t>
      </w:r>
      <w:r w:rsidR="00B57161">
        <w:rPr>
          <w:rFonts w:ascii="Times New Roman" w:hAnsi="Times New Roman" w:cs="Times New Roman"/>
          <w:sz w:val="24"/>
          <w:szCs w:val="24"/>
        </w:rPr>
        <w:t>In addition, SADF personnel were granted broad immunity from prosecution for their behaviors as a result of the Defense Act, which granted absolution for many of the more grisly practices undertaken in the name of counterinsurgency.</w:t>
      </w:r>
      <w:r w:rsidR="00B57161">
        <w:rPr>
          <w:rStyle w:val="FootnoteReference"/>
          <w:rFonts w:ascii="Times New Roman" w:hAnsi="Times New Roman" w:cs="Times New Roman"/>
          <w:sz w:val="24"/>
          <w:szCs w:val="24"/>
        </w:rPr>
        <w:footnoteReference w:id="428"/>
      </w:r>
    </w:p>
    <w:p w:rsidR="004B656C" w:rsidRDefault="009F08FB" w:rsidP="006D0328">
      <w:pPr>
        <w:rPr>
          <w:rFonts w:ascii="Times New Roman" w:hAnsi="Times New Roman" w:cs="Times New Roman"/>
          <w:sz w:val="24"/>
          <w:szCs w:val="24"/>
        </w:rPr>
      </w:pPr>
      <w:r>
        <w:rPr>
          <w:rFonts w:ascii="Times New Roman" w:hAnsi="Times New Roman" w:cs="Times New Roman"/>
          <w:sz w:val="24"/>
          <w:szCs w:val="24"/>
        </w:rPr>
        <w:tab/>
      </w:r>
      <w:r w:rsidR="00C0337C">
        <w:rPr>
          <w:rFonts w:ascii="Times New Roman" w:hAnsi="Times New Roman" w:cs="Times New Roman"/>
          <w:sz w:val="24"/>
          <w:szCs w:val="24"/>
        </w:rPr>
        <w:t>While the postwar transition has received ample coverage, the course of the war itself, particularly from a political standpoint, is another matter entirely. What is known is that the ANC engaged in an ambitious governance strategy beginning in the 1980’s</w:t>
      </w:r>
      <w:r w:rsidR="00327575">
        <w:rPr>
          <w:rFonts w:ascii="Times New Roman" w:hAnsi="Times New Roman" w:cs="Times New Roman"/>
          <w:sz w:val="24"/>
          <w:szCs w:val="24"/>
        </w:rPr>
        <w:t>, with the group calling for dissatisfied black South Africans to create parallel governing structures to destabilize the South African government’s hold on the country</w:t>
      </w:r>
      <w:r w:rsidR="00C0337C">
        <w:rPr>
          <w:rFonts w:ascii="Times New Roman" w:hAnsi="Times New Roman" w:cs="Times New Roman"/>
          <w:sz w:val="24"/>
          <w:szCs w:val="24"/>
        </w:rPr>
        <w:t>.</w:t>
      </w:r>
      <w:r w:rsidR="00327575">
        <w:rPr>
          <w:rFonts w:ascii="Times New Roman" w:hAnsi="Times New Roman" w:cs="Times New Roman"/>
          <w:sz w:val="24"/>
          <w:szCs w:val="24"/>
        </w:rPr>
        <w:t xml:space="preserve"> Young people responded to the ANC’s call, creating street committees in the conflict’s first year. These committees attempted to enforce a competing vision of law and order—occasionally erring quite far on the retributive side of the scale. They also solicited community concerns and tried, to the best of their ability to address them.</w:t>
      </w:r>
      <w:r w:rsidR="00327575">
        <w:rPr>
          <w:rStyle w:val="FootnoteReference"/>
          <w:rFonts w:ascii="Times New Roman" w:hAnsi="Times New Roman" w:cs="Times New Roman"/>
          <w:sz w:val="24"/>
          <w:szCs w:val="24"/>
        </w:rPr>
        <w:footnoteReference w:id="429"/>
      </w:r>
    </w:p>
    <w:p w:rsidR="001118C4" w:rsidRDefault="00570422" w:rsidP="006D0328">
      <w:pPr>
        <w:rPr>
          <w:rFonts w:ascii="Times New Roman" w:hAnsi="Times New Roman" w:cs="Times New Roman"/>
          <w:sz w:val="24"/>
          <w:szCs w:val="24"/>
        </w:rPr>
      </w:pPr>
      <w:r>
        <w:rPr>
          <w:rFonts w:ascii="Times New Roman" w:hAnsi="Times New Roman" w:cs="Times New Roman"/>
          <w:sz w:val="24"/>
          <w:szCs w:val="24"/>
        </w:rPr>
        <w:tab/>
        <w:t>These committees were eventually incorporated into the rebels’ leadership scheme, although not without some difficulty.</w:t>
      </w:r>
      <w:r>
        <w:rPr>
          <w:rStyle w:val="FootnoteReference"/>
          <w:rFonts w:ascii="Times New Roman" w:hAnsi="Times New Roman" w:cs="Times New Roman"/>
          <w:sz w:val="24"/>
          <w:szCs w:val="24"/>
        </w:rPr>
        <w:footnoteReference w:id="430"/>
      </w:r>
      <w:r>
        <w:rPr>
          <w:rFonts w:ascii="Times New Roman" w:hAnsi="Times New Roman" w:cs="Times New Roman"/>
          <w:sz w:val="24"/>
          <w:szCs w:val="24"/>
        </w:rPr>
        <w:t xml:space="preserve"> In addition to ad hoc justice and problem solving, these committees took on a surprising amount of representative</w:t>
      </w:r>
      <w:r w:rsidR="001118C4">
        <w:rPr>
          <w:rFonts w:ascii="Times New Roman" w:hAnsi="Times New Roman" w:cs="Times New Roman"/>
          <w:sz w:val="24"/>
          <w:szCs w:val="24"/>
        </w:rPr>
        <w:t xml:space="preserve"> burdens</w:t>
      </w:r>
      <w:r w:rsidR="00327575">
        <w:rPr>
          <w:rFonts w:ascii="Times New Roman" w:hAnsi="Times New Roman" w:cs="Times New Roman"/>
          <w:sz w:val="24"/>
          <w:szCs w:val="24"/>
        </w:rPr>
        <w:t>.</w:t>
      </w:r>
      <w:r w:rsidR="00327575">
        <w:rPr>
          <w:rStyle w:val="FootnoteReference"/>
          <w:rFonts w:ascii="Times New Roman" w:hAnsi="Times New Roman" w:cs="Times New Roman"/>
          <w:sz w:val="24"/>
          <w:szCs w:val="24"/>
        </w:rPr>
        <w:footnoteReference w:id="431"/>
      </w:r>
      <w:r>
        <w:rPr>
          <w:rFonts w:ascii="Times New Roman" w:hAnsi="Times New Roman" w:cs="Times New Roman"/>
          <w:sz w:val="24"/>
          <w:szCs w:val="24"/>
        </w:rPr>
        <w:t xml:space="preserve"> Where the rebels were strongest, each street had an elected committee to represent it. </w:t>
      </w:r>
      <w:r w:rsidR="001118C4">
        <w:rPr>
          <w:rFonts w:ascii="Times New Roman" w:hAnsi="Times New Roman" w:cs="Times New Roman"/>
          <w:sz w:val="24"/>
          <w:szCs w:val="24"/>
        </w:rPr>
        <w:t xml:space="preserve">Several streets comprised an </w:t>
      </w:r>
      <w:r w:rsidR="001118C4">
        <w:rPr>
          <w:rFonts w:ascii="Times New Roman" w:hAnsi="Times New Roman" w:cs="Times New Roman"/>
          <w:sz w:val="24"/>
          <w:szCs w:val="24"/>
        </w:rPr>
        <w:lastRenderedPageBreak/>
        <w:t>“area,” with towns constituting between 16 and 20 areas. The street committees elected area committees and the area committees each elected two representatives (normally one younger and one older) to sit on the Area Committee Council. Each level dealt with policymaking, but also with issues related to punishing crimes (with more serious crimes being dealt with at higher levels. Their commitment to what one might view as mundane administration (water provision, garbage pickup, night-soil disposal) is similarly impressive.</w:t>
      </w:r>
    </w:p>
    <w:p w:rsidR="001118C4" w:rsidRDefault="001118C4" w:rsidP="006D0328">
      <w:pPr>
        <w:rPr>
          <w:rFonts w:ascii="Times New Roman" w:hAnsi="Times New Roman" w:cs="Times New Roman"/>
          <w:sz w:val="24"/>
          <w:szCs w:val="24"/>
        </w:rPr>
      </w:pPr>
      <w:r>
        <w:rPr>
          <w:rFonts w:ascii="Times New Roman" w:hAnsi="Times New Roman" w:cs="Times New Roman"/>
          <w:sz w:val="24"/>
          <w:szCs w:val="24"/>
        </w:rPr>
        <w:tab/>
        <w:t>This committee system had profound impacts. Interviews with participants suggest a similar “pleasure in agency” that Wood describes from here work in El Salvador. Also, it appears as though the committees were able to negotiate the end of boycotts (which they arranged) with white businessmen, arranging deals to change corporate policies. This eventually spread to negotiations regarding establishing official nonracial municipal governance structures.</w:t>
      </w:r>
      <w:r>
        <w:rPr>
          <w:rStyle w:val="FootnoteReference"/>
          <w:rFonts w:ascii="Times New Roman" w:hAnsi="Times New Roman" w:cs="Times New Roman"/>
          <w:sz w:val="24"/>
          <w:szCs w:val="24"/>
        </w:rPr>
        <w:footnoteReference w:id="432"/>
      </w:r>
    </w:p>
    <w:p w:rsidR="00667228" w:rsidRDefault="00667228" w:rsidP="006D0328">
      <w:pPr>
        <w:rPr>
          <w:rFonts w:ascii="Times New Roman" w:hAnsi="Times New Roman" w:cs="Times New Roman"/>
          <w:sz w:val="24"/>
          <w:szCs w:val="24"/>
        </w:rPr>
      </w:pPr>
      <w:r>
        <w:rPr>
          <w:rFonts w:ascii="Times New Roman" w:hAnsi="Times New Roman" w:cs="Times New Roman"/>
          <w:sz w:val="24"/>
          <w:szCs w:val="24"/>
        </w:rPr>
        <w:tab/>
        <w:t>Criminal justice improved the more the rebels attempted to incorporate it into their governance scheme. While the street committees initially practiced a spontaneous (and brutal, and inexact) form of “street justice,” the street committee hierarchy was able to bring about something of an appeals process.</w:t>
      </w:r>
      <w:r>
        <w:rPr>
          <w:rStyle w:val="FootnoteReference"/>
          <w:rFonts w:ascii="Times New Roman" w:hAnsi="Times New Roman" w:cs="Times New Roman"/>
          <w:sz w:val="24"/>
          <w:szCs w:val="24"/>
        </w:rPr>
        <w:footnoteReference w:id="433"/>
      </w:r>
      <w:r>
        <w:rPr>
          <w:rFonts w:ascii="Times New Roman" w:hAnsi="Times New Roman" w:cs="Times New Roman"/>
          <w:sz w:val="24"/>
          <w:szCs w:val="24"/>
        </w:rPr>
        <w:t xml:space="preserve"> While still far from perfect, this system appears to have made substantial impacts within their controlled territory.</w:t>
      </w:r>
    </w:p>
    <w:p w:rsidR="001F4F73" w:rsidRDefault="00667228" w:rsidP="006D0328">
      <w:pPr>
        <w:rPr>
          <w:rFonts w:ascii="Times New Roman" w:hAnsi="Times New Roman" w:cs="Times New Roman"/>
          <w:sz w:val="24"/>
          <w:szCs w:val="24"/>
        </w:rPr>
      </w:pPr>
      <w:r>
        <w:rPr>
          <w:rFonts w:ascii="Times New Roman" w:hAnsi="Times New Roman" w:cs="Times New Roman"/>
          <w:sz w:val="24"/>
          <w:szCs w:val="24"/>
        </w:rPr>
        <w:tab/>
        <w:t>In addition to township governance structures, the</w:t>
      </w:r>
      <w:r w:rsidR="00621A29">
        <w:rPr>
          <w:rFonts w:ascii="Times New Roman" w:hAnsi="Times New Roman" w:cs="Times New Roman"/>
          <w:sz w:val="24"/>
          <w:szCs w:val="24"/>
        </w:rPr>
        <w:t xml:space="preserve"> ANC established a</w:t>
      </w:r>
      <w:r w:rsidR="00B57161">
        <w:rPr>
          <w:rFonts w:ascii="Times New Roman" w:hAnsi="Times New Roman" w:cs="Times New Roman"/>
          <w:sz w:val="24"/>
          <w:szCs w:val="24"/>
        </w:rPr>
        <w:t xml:space="preserve"> small</w:t>
      </w:r>
      <w:r w:rsidR="00621A29">
        <w:rPr>
          <w:rFonts w:ascii="Times New Roman" w:hAnsi="Times New Roman" w:cs="Times New Roman"/>
          <w:sz w:val="24"/>
          <w:szCs w:val="24"/>
        </w:rPr>
        <w:t xml:space="preserve"> number of relatively self-sufficient camps in which children and young adults could pursue some degree of education. In addition to sending a small number of college-aged students abroad by way of sc</w:t>
      </w:r>
      <w:r w:rsidR="00222F2D">
        <w:rPr>
          <w:rFonts w:ascii="Times New Roman" w:hAnsi="Times New Roman" w:cs="Times New Roman"/>
          <w:sz w:val="24"/>
          <w:szCs w:val="24"/>
        </w:rPr>
        <w:t>holarships, basic education was provided alongside ideological training.</w:t>
      </w:r>
      <w:r w:rsidR="00222F2D">
        <w:rPr>
          <w:rStyle w:val="FootnoteReference"/>
          <w:rFonts w:ascii="Times New Roman" w:hAnsi="Times New Roman" w:cs="Times New Roman"/>
          <w:sz w:val="24"/>
          <w:szCs w:val="24"/>
        </w:rPr>
        <w:footnoteReference w:id="434"/>
      </w:r>
      <w:r w:rsidR="001F4F73">
        <w:rPr>
          <w:rFonts w:ascii="Times New Roman" w:hAnsi="Times New Roman" w:cs="Times New Roman"/>
          <w:sz w:val="24"/>
          <w:szCs w:val="24"/>
        </w:rPr>
        <w:t xml:space="preserve"> This is not to say that education only took place outside of the towns.</w:t>
      </w:r>
      <w:r w:rsidR="00B57161">
        <w:rPr>
          <w:rFonts w:ascii="Times New Roman" w:hAnsi="Times New Roman" w:cs="Times New Roman"/>
          <w:sz w:val="24"/>
          <w:szCs w:val="24"/>
        </w:rPr>
        <w:t xml:space="preserve"> </w:t>
      </w:r>
      <w:r w:rsidR="001F4F73">
        <w:rPr>
          <w:rFonts w:ascii="Times New Roman" w:hAnsi="Times New Roman" w:cs="Times New Roman"/>
          <w:sz w:val="24"/>
          <w:szCs w:val="24"/>
        </w:rPr>
        <w:t>Where government control was at its lowest ebb, the National Education Crisis Committee (NECC) was able to develop new curricula and administer schools in towns such as Port Elizabeth.</w:t>
      </w:r>
      <w:r w:rsidR="001F4F73">
        <w:rPr>
          <w:rStyle w:val="FootnoteReference"/>
          <w:rFonts w:ascii="Times New Roman" w:hAnsi="Times New Roman" w:cs="Times New Roman"/>
          <w:sz w:val="24"/>
          <w:szCs w:val="24"/>
        </w:rPr>
        <w:footnoteReference w:id="435"/>
      </w:r>
    </w:p>
    <w:p w:rsidR="001F4F73" w:rsidRDefault="001F4F73" w:rsidP="006D0328">
      <w:pPr>
        <w:rPr>
          <w:rFonts w:ascii="Times New Roman" w:hAnsi="Times New Roman" w:cs="Times New Roman"/>
          <w:sz w:val="24"/>
          <w:szCs w:val="24"/>
        </w:rPr>
      </w:pPr>
      <w:r>
        <w:rPr>
          <w:rFonts w:ascii="Times New Roman" w:hAnsi="Times New Roman" w:cs="Times New Roman"/>
          <w:sz w:val="24"/>
          <w:szCs w:val="24"/>
        </w:rPr>
        <w:tab/>
        <w:t>There was also an effective health service called the National Medical and Dental Association (NAMDA). NAMDA set about the task of providing alternatives to fighters, targets of police brutality and interrogations, and general health to the state-run clinics which government forces had begun to use as sources of information. By 1987 NAMDA was both providing care and providing first-aid training.</w:t>
      </w:r>
      <w:r>
        <w:rPr>
          <w:rStyle w:val="FootnoteReference"/>
          <w:rFonts w:ascii="Times New Roman" w:hAnsi="Times New Roman" w:cs="Times New Roman"/>
          <w:sz w:val="24"/>
          <w:szCs w:val="24"/>
        </w:rPr>
        <w:footnoteReference w:id="436"/>
      </w:r>
    </w:p>
    <w:p w:rsidR="009F08FB" w:rsidRDefault="00665715" w:rsidP="006D0328">
      <w:pPr>
        <w:rPr>
          <w:rFonts w:ascii="Times New Roman" w:hAnsi="Times New Roman" w:cs="Times New Roman"/>
          <w:sz w:val="24"/>
          <w:szCs w:val="24"/>
        </w:rPr>
      </w:pPr>
      <w:r>
        <w:rPr>
          <w:rFonts w:ascii="Times New Roman" w:hAnsi="Times New Roman" w:cs="Times New Roman"/>
          <w:sz w:val="24"/>
          <w:szCs w:val="24"/>
        </w:rPr>
        <w:tab/>
      </w:r>
      <w:r w:rsidR="00B57161">
        <w:rPr>
          <w:rFonts w:ascii="Times New Roman" w:hAnsi="Times New Roman" w:cs="Times New Roman"/>
          <w:sz w:val="24"/>
          <w:szCs w:val="24"/>
        </w:rPr>
        <w:t>This</w:t>
      </w:r>
      <w:r>
        <w:rPr>
          <w:rFonts w:ascii="Times New Roman" w:hAnsi="Times New Roman" w:cs="Times New Roman"/>
          <w:sz w:val="24"/>
          <w:szCs w:val="24"/>
        </w:rPr>
        <w:t xml:space="preserve"> governance</w:t>
      </w:r>
      <w:r w:rsidR="00B57161">
        <w:rPr>
          <w:rFonts w:ascii="Times New Roman" w:hAnsi="Times New Roman" w:cs="Times New Roman"/>
          <w:sz w:val="24"/>
          <w:szCs w:val="24"/>
        </w:rPr>
        <w:t xml:space="preserve"> project was hamstrung by</w:t>
      </w:r>
      <w:r w:rsidR="003B5F0A">
        <w:rPr>
          <w:rFonts w:ascii="Times New Roman" w:hAnsi="Times New Roman" w:cs="Times New Roman"/>
          <w:sz w:val="24"/>
          <w:szCs w:val="24"/>
        </w:rPr>
        <w:t xml:space="preserve"> </w:t>
      </w:r>
      <w:r w:rsidR="00B57161">
        <w:rPr>
          <w:rFonts w:ascii="Times New Roman" w:hAnsi="Times New Roman" w:cs="Times New Roman"/>
          <w:sz w:val="24"/>
          <w:szCs w:val="24"/>
        </w:rPr>
        <w:t>the SADF</w:t>
      </w:r>
      <w:r w:rsidR="003B5F0A">
        <w:rPr>
          <w:rFonts w:ascii="Times New Roman" w:hAnsi="Times New Roman" w:cs="Times New Roman"/>
          <w:sz w:val="24"/>
          <w:szCs w:val="24"/>
        </w:rPr>
        <w:t>’d doubling down as the conflict progressed,</w:t>
      </w:r>
      <w:r w:rsidR="00B57161">
        <w:rPr>
          <w:rFonts w:ascii="Times New Roman" w:hAnsi="Times New Roman" w:cs="Times New Roman"/>
          <w:sz w:val="24"/>
          <w:szCs w:val="24"/>
        </w:rPr>
        <w:t xml:space="preserve"> though.</w:t>
      </w:r>
      <w:r w:rsidR="00B57161">
        <w:rPr>
          <w:rStyle w:val="FootnoteReference"/>
          <w:rFonts w:ascii="Times New Roman" w:hAnsi="Times New Roman" w:cs="Times New Roman"/>
          <w:sz w:val="24"/>
          <w:szCs w:val="24"/>
        </w:rPr>
        <w:footnoteReference w:id="437"/>
      </w:r>
      <w:r>
        <w:rPr>
          <w:rFonts w:ascii="Times New Roman" w:hAnsi="Times New Roman" w:cs="Times New Roman"/>
          <w:sz w:val="24"/>
          <w:szCs w:val="24"/>
        </w:rPr>
        <w:t xml:space="preserve"> </w:t>
      </w:r>
      <w:r w:rsidR="003B5F0A">
        <w:rPr>
          <w:rFonts w:ascii="Times New Roman" w:hAnsi="Times New Roman" w:cs="Times New Roman"/>
          <w:sz w:val="24"/>
          <w:szCs w:val="24"/>
        </w:rPr>
        <w:t>The gambit did not ultimately pay off, with international diplomatic and economic pressure mounting as the 1980s came to a close.</w:t>
      </w:r>
      <w:r w:rsidR="003B5F0A">
        <w:rPr>
          <w:rStyle w:val="FootnoteReference"/>
          <w:rFonts w:ascii="Times New Roman" w:hAnsi="Times New Roman" w:cs="Times New Roman"/>
          <w:sz w:val="24"/>
          <w:szCs w:val="24"/>
        </w:rPr>
        <w:footnoteReference w:id="438"/>
      </w:r>
      <w:r w:rsidR="003B5F0A">
        <w:rPr>
          <w:rFonts w:ascii="Times New Roman" w:hAnsi="Times New Roman" w:cs="Times New Roman"/>
          <w:sz w:val="24"/>
          <w:szCs w:val="24"/>
        </w:rPr>
        <w:t xml:space="preserve"> Ultimately, it appears as though the ANC and UDF were laying the groundwork for what would come afterward.</w:t>
      </w:r>
    </w:p>
    <w:p w:rsidR="006D0328" w:rsidRPr="00F62BA4" w:rsidRDefault="006D0328" w:rsidP="006D0328">
      <w:pPr>
        <w:rPr>
          <w:rFonts w:ascii="Times New Roman" w:hAnsi="Times New Roman" w:cs="Times New Roman"/>
          <w:b/>
          <w:sz w:val="24"/>
          <w:szCs w:val="24"/>
        </w:rPr>
      </w:pPr>
      <w:r w:rsidRPr="00F62BA4">
        <w:rPr>
          <w:rFonts w:ascii="Times New Roman" w:hAnsi="Times New Roman" w:cs="Times New Roman"/>
          <w:b/>
          <w:sz w:val="24"/>
          <w:szCs w:val="24"/>
        </w:rPr>
        <w:lastRenderedPageBreak/>
        <w:t>Sri Lanka</w:t>
      </w:r>
      <w:r w:rsidR="004D11D2" w:rsidRPr="00F62BA4">
        <w:rPr>
          <w:rFonts w:ascii="Times New Roman" w:hAnsi="Times New Roman" w:cs="Times New Roman"/>
          <w:b/>
          <w:sz w:val="24"/>
          <w:szCs w:val="24"/>
        </w:rPr>
        <w:t xml:space="preserve"> (1983-1987)</w:t>
      </w:r>
    </w:p>
    <w:p w:rsidR="00C7380F" w:rsidRPr="00F62BA4" w:rsidRDefault="00C7380F" w:rsidP="00C7380F">
      <w:pPr>
        <w:rPr>
          <w:rFonts w:ascii="Times New Roman" w:hAnsi="Times New Roman" w:cs="Times New Roman"/>
          <w:sz w:val="24"/>
          <w:szCs w:val="24"/>
        </w:rPr>
      </w:pPr>
      <w:r w:rsidRPr="00F62BA4">
        <w:rPr>
          <w:rFonts w:ascii="Times New Roman" w:hAnsi="Times New Roman" w:cs="Times New Roman"/>
          <w:sz w:val="24"/>
          <w:szCs w:val="24"/>
        </w:rPr>
        <w:t>Rebels / Incumbents: Liberation Tigers of Tamil Elam (LTTE) / Sri Lankan Government (GoSL)</w:t>
      </w:r>
    </w:p>
    <w:p w:rsidR="00056CB2" w:rsidRPr="00F62BA4" w:rsidRDefault="005B1032" w:rsidP="006D0328">
      <w:pPr>
        <w:rPr>
          <w:rFonts w:ascii="Times New Roman" w:hAnsi="Times New Roman" w:cs="Times New Roman"/>
          <w:b/>
          <w:sz w:val="24"/>
          <w:szCs w:val="24"/>
        </w:rPr>
      </w:pPr>
      <w:r>
        <w:rPr>
          <w:rFonts w:ascii="Times New Roman" w:hAnsi="Times New Roman" w:cs="Times New Roman"/>
          <w:b/>
          <w:sz w:val="24"/>
          <w:szCs w:val="24"/>
        </w:rPr>
        <w:t>Policing/juridical</w:t>
      </w:r>
      <w:r w:rsidR="00056CB2"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056CB2" w:rsidRPr="00F62BA4">
        <w:rPr>
          <w:rFonts w:ascii="Times New Roman" w:hAnsi="Times New Roman" w:cs="Times New Roman"/>
          <w:b/>
          <w:sz w:val="24"/>
          <w:szCs w:val="24"/>
        </w:rPr>
        <w:t>: 0</w:t>
      </w:r>
    </w:p>
    <w:p w:rsidR="00805A7D" w:rsidRPr="00F62BA4" w:rsidRDefault="000757D0" w:rsidP="000757D0">
      <w:pPr>
        <w:ind w:firstLine="720"/>
        <w:rPr>
          <w:rFonts w:ascii="Times New Roman" w:hAnsi="Times New Roman" w:cs="Times New Roman"/>
          <w:sz w:val="24"/>
          <w:szCs w:val="24"/>
        </w:rPr>
      </w:pPr>
      <w:r w:rsidRPr="00F62BA4">
        <w:rPr>
          <w:rFonts w:ascii="Times New Roman" w:hAnsi="Times New Roman" w:cs="Times New Roman"/>
          <w:sz w:val="24"/>
          <w:szCs w:val="24"/>
        </w:rPr>
        <w:t>Although 1983’s</w:t>
      </w:r>
      <w:r w:rsidR="00805A7D" w:rsidRPr="00F62BA4">
        <w:rPr>
          <w:rFonts w:ascii="Times New Roman" w:hAnsi="Times New Roman" w:cs="Times New Roman"/>
          <w:sz w:val="24"/>
          <w:szCs w:val="24"/>
        </w:rPr>
        <w:t xml:space="preserve"> “Black July” pogroms against Sri Lankan Tamils</w:t>
      </w:r>
      <w:r w:rsidRPr="00F62BA4">
        <w:rPr>
          <w:rFonts w:ascii="Times New Roman" w:hAnsi="Times New Roman" w:cs="Times New Roman"/>
          <w:sz w:val="24"/>
          <w:szCs w:val="24"/>
        </w:rPr>
        <w:t xml:space="preserve"> in response to a deadly attack on Sri Lankan soldiers</w:t>
      </w:r>
      <w:r w:rsidRPr="00F62BA4">
        <w:rPr>
          <w:rStyle w:val="FootnoteReference"/>
          <w:rFonts w:ascii="Times New Roman" w:hAnsi="Times New Roman" w:cs="Times New Roman"/>
          <w:sz w:val="24"/>
          <w:szCs w:val="24"/>
        </w:rPr>
        <w:footnoteReference w:id="439"/>
      </w:r>
      <w:r w:rsidR="00805A7D" w:rsidRPr="00F62BA4">
        <w:rPr>
          <w:rFonts w:ascii="Times New Roman" w:hAnsi="Times New Roman" w:cs="Times New Roman"/>
          <w:sz w:val="24"/>
          <w:szCs w:val="24"/>
        </w:rPr>
        <w:t xml:space="preserve"> marked the war’s beginning, the LTTE had been engaging in</w:t>
      </w:r>
      <w:r w:rsidR="00DA3E94" w:rsidRPr="00F62BA4">
        <w:rPr>
          <w:rFonts w:ascii="Times New Roman" w:hAnsi="Times New Roman" w:cs="Times New Roman"/>
          <w:sz w:val="24"/>
          <w:szCs w:val="24"/>
        </w:rPr>
        <w:t xml:space="preserve"> low-level</w:t>
      </w:r>
      <w:r w:rsidR="00805A7D" w:rsidRPr="00F62BA4">
        <w:rPr>
          <w:rFonts w:ascii="Times New Roman" w:hAnsi="Times New Roman" w:cs="Times New Roman"/>
          <w:sz w:val="24"/>
          <w:szCs w:val="24"/>
        </w:rPr>
        <w:t xml:space="preserve"> anti-state activity since the mid-1970’s.</w:t>
      </w:r>
      <w:r w:rsidR="00805A7D" w:rsidRPr="00F62BA4">
        <w:rPr>
          <w:rStyle w:val="FootnoteReference"/>
          <w:rFonts w:ascii="Times New Roman" w:hAnsi="Times New Roman" w:cs="Times New Roman"/>
          <w:sz w:val="24"/>
          <w:szCs w:val="24"/>
        </w:rPr>
        <w:footnoteReference w:id="440"/>
      </w:r>
      <w:r w:rsidR="00DA3E94" w:rsidRPr="00F62BA4">
        <w:rPr>
          <w:rFonts w:ascii="Times New Roman" w:hAnsi="Times New Roman" w:cs="Times New Roman"/>
          <w:sz w:val="24"/>
          <w:szCs w:val="24"/>
        </w:rPr>
        <w:t xml:space="preserve"> Aside from these activities, </w:t>
      </w:r>
      <w:r w:rsidR="00DD628B" w:rsidRPr="00F62BA4">
        <w:rPr>
          <w:rFonts w:ascii="Times New Roman" w:hAnsi="Times New Roman" w:cs="Times New Roman"/>
          <w:sz w:val="24"/>
          <w:szCs w:val="24"/>
        </w:rPr>
        <w:t>the LTTE was primarily focused on consolidating public support for their cause and eliminating any competing pro-Tamil organizations.</w:t>
      </w:r>
      <w:r w:rsidR="00DB6DAD" w:rsidRPr="00F62BA4">
        <w:rPr>
          <w:rFonts w:ascii="Times New Roman" w:hAnsi="Times New Roman" w:cs="Times New Roman"/>
          <w:sz w:val="24"/>
          <w:szCs w:val="24"/>
        </w:rPr>
        <w:t xml:space="preserve"> In part due to this single-mindedness, the group did very little to establish competing manifestations of governance.</w:t>
      </w:r>
    </w:p>
    <w:p w:rsidR="00DB6DAD" w:rsidRPr="00F62BA4" w:rsidRDefault="00DB6DAD" w:rsidP="000757D0">
      <w:pPr>
        <w:ind w:firstLine="720"/>
        <w:rPr>
          <w:rFonts w:ascii="Times New Roman" w:hAnsi="Times New Roman" w:cs="Times New Roman"/>
          <w:sz w:val="24"/>
          <w:szCs w:val="24"/>
        </w:rPr>
      </w:pPr>
      <w:r w:rsidRPr="00F62BA4">
        <w:rPr>
          <w:rFonts w:ascii="Times New Roman" w:hAnsi="Times New Roman" w:cs="Times New Roman"/>
          <w:sz w:val="24"/>
          <w:szCs w:val="24"/>
        </w:rPr>
        <w:t>LTTE did have a political office, but it fell beneath the military office in the group’s strictly enforced hierarchy.</w:t>
      </w:r>
      <w:r w:rsidRPr="00F62BA4">
        <w:rPr>
          <w:rStyle w:val="FootnoteReference"/>
          <w:rFonts w:ascii="Times New Roman" w:hAnsi="Times New Roman" w:cs="Times New Roman"/>
          <w:sz w:val="24"/>
          <w:szCs w:val="24"/>
        </w:rPr>
        <w:footnoteReference w:id="441"/>
      </w:r>
      <w:r w:rsidR="006C17C2" w:rsidRPr="00F62BA4">
        <w:rPr>
          <w:rFonts w:ascii="Times New Roman" w:hAnsi="Times New Roman" w:cs="Times New Roman"/>
          <w:sz w:val="24"/>
          <w:szCs w:val="24"/>
        </w:rPr>
        <w:t xml:space="preserve"> Indeed, Mampilly writes that GoSL remained in charge of administering justice and enforcing the law in LTTE territory throughout this phase of the war. Although this changed as the war’s next phase began, the transition was not to LTTE governance. Instead, the shift was external: their Indian patrons became the administrators of the territory in which the LTTE operated under the auspices of the Indian Peacekeeping Force (IPKF).</w:t>
      </w:r>
      <w:r w:rsidR="006C17C2" w:rsidRPr="00F62BA4">
        <w:rPr>
          <w:rStyle w:val="FootnoteReference"/>
          <w:rFonts w:ascii="Times New Roman" w:hAnsi="Times New Roman" w:cs="Times New Roman"/>
          <w:sz w:val="24"/>
          <w:szCs w:val="24"/>
        </w:rPr>
        <w:footnoteReference w:id="442"/>
      </w:r>
    </w:p>
    <w:p w:rsidR="004D11D2" w:rsidRPr="00F62BA4" w:rsidRDefault="004D11D2" w:rsidP="006D0328">
      <w:pPr>
        <w:rPr>
          <w:rFonts w:ascii="Times New Roman" w:hAnsi="Times New Roman" w:cs="Times New Roman"/>
          <w:b/>
          <w:sz w:val="24"/>
          <w:szCs w:val="24"/>
        </w:rPr>
      </w:pPr>
      <w:r w:rsidRPr="00F62BA4">
        <w:rPr>
          <w:rFonts w:ascii="Times New Roman" w:hAnsi="Times New Roman" w:cs="Times New Roman"/>
          <w:b/>
          <w:sz w:val="24"/>
          <w:szCs w:val="24"/>
        </w:rPr>
        <w:t>Sri Lanka (1987-1989)</w:t>
      </w:r>
    </w:p>
    <w:p w:rsidR="00C7380F" w:rsidRPr="00F62BA4" w:rsidRDefault="00C7380F" w:rsidP="00C7380F">
      <w:pPr>
        <w:rPr>
          <w:rFonts w:ascii="Times New Roman" w:hAnsi="Times New Roman" w:cs="Times New Roman"/>
          <w:sz w:val="24"/>
          <w:szCs w:val="24"/>
        </w:rPr>
      </w:pPr>
      <w:r w:rsidRPr="00F62BA4">
        <w:rPr>
          <w:rFonts w:ascii="Times New Roman" w:hAnsi="Times New Roman" w:cs="Times New Roman"/>
          <w:sz w:val="24"/>
          <w:szCs w:val="24"/>
        </w:rPr>
        <w:t>Rebels / Incumbents: LTTE / GoSL</w:t>
      </w:r>
    </w:p>
    <w:p w:rsidR="00056CB2" w:rsidRPr="00F62BA4" w:rsidRDefault="005B1032" w:rsidP="00056CB2">
      <w:pPr>
        <w:rPr>
          <w:rFonts w:ascii="Times New Roman" w:hAnsi="Times New Roman" w:cs="Times New Roman"/>
          <w:b/>
          <w:sz w:val="24"/>
          <w:szCs w:val="24"/>
        </w:rPr>
      </w:pPr>
      <w:r>
        <w:rPr>
          <w:rFonts w:ascii="Times New Roman" w:hAnsi="Times New Roman" w:cs="Times New Roman"/>
          <w:b/>
          <w:sz w:val="24"/>
          <w:szCs w:val="24"/>
        </w:rPr>
        <w:t>Policing/juridical</w:t>
      </w:r>
      <w:r w:rsidR="00056CB2" w:rsidRPr="00F62BA4">
        <w:rPr>
          <w:rFonts w:ascii="Times New Roman" w:hAnsi="Times New Roman" w:cs="Times New Roman"/>
          <w:b/>
          <w:sz w:val="24"/>
          <w:szCs w:val="24"/>
        </w:rPr>
        <w:t xml:space="preserve">: </w:t>
      </w:r>
      <w:r w:rsidR="00E63D13" w:rsidRPr="00F62BA4">
        <w:rPr>
          <w:rFonts w:ascii="Times New Roman" w:hAnsi="Times New Roman" w:cs="Times New Roman"/>
          <w:b/>
          <w:sz w:val="24"/>
          <w:szCs w:val="24"/>
        </w:rPr>
        <w:t>0</w:t>
      </w:r>
      <w:r w:rsidR="00056CB2" w:rsidRPr="00F62BA4">
        <w:rPr>
          <w:rFonts w:ascii="Times New Roman" w:hAnsi="Times New Roman" w:cs="Times New Roman"/>
          <w:b/>
          <w:sz w:val="24"/>
          <w:szCs w:val="24"/>
        </w:rPr>
        <w:t xml:space="preserve">; Public Goods: 0; </w:t>
      </w:r>
      <w:r>
        <w:rPr>
          <w:rFonts w:ascii="Times New Roman" w:hAnsi="Times New Roman" w:cs="Times New Roman"/>
          <w:b/>
          <w:sz w:val="24"/>
          <w:szCs w:val="24"/>
        </w:rPr>
        <w:t>Consultative instruments</w:t>
      </w:r>
      <w:r w:rsidR="00056CB2" w:rsidRPr="00F62BA4">
        <w:rPr>
          <w:rFonts w:ascii="Times New Roman" w:hAnsi="Times New Roman" w:cs="Times New Roman"/>
          <w:b/>
          <w:sz w:val="24"/>
          <w:szCs w:val="24"/>
        </w:rPr>
        <w:t>: 0</w:t>
      </w:r>
    </w:p>
    <w:p w:rsidR="00056CB2" w:rsidRPr="00F62BA4" w:rsidRDefault="006023EA" w:rsidP="006D0328">
      <w:pPr>
        <w:rPr>
          <w:rFonts w:ascii="Times New Roman" w:hAnsi="Times New Roman" w:cs="Times New Roman"/>
          <w:sz w:val="24"/>
          <w:szCs w:val="24"/>
        </w:rPr>
      </w:pPr>
      <w:r w:rsidRPr="00F62BA4">
        <w:rPr>
          <w:rFonts w:ascii="Times New Roman" w:hAnsi="Times New Roman" w:cs="Times New Roman"/>
          <w:b/>
          <w:sz w:val="24"/>
          <w:szCs w:val="24"/>
        </w:rPr>
        <w:tab/>
      </w:r>
      <w:r w:rsidRPr="00F62BA4">
        <w:rPr>
          <w:rFonts w:ascii="Times New Roman" w:hAnsi="Times New Roman" w:cs="Times New Roman"/>
          <w:sz w:val="24"/>
          <w:szCs w:val="24"/>
        </w:rPr>
        <w:t xml:space="preserve">The second phase of the conflict proceeded much like the first, only with the IPKF </w:t>
      </w:r>
      <w:r w:rsidR="006338E2" w:rsidRPr="00F62BA4">
        <w:rPr>
          <w:rFonts w:ascii="Times New Roman" w:hAnsi="Times New Roman" w:cs="Times New Roman"/>
          <w:sz w:val="24"/>
          <w:szCs w:val="24"/>
        </w:rPr>
        <w:t xml:space="preserve">taking part as an external intervening party. </w:t>
      </w:r>
      <w:r w:rsidR="00523E86" w:rsidRPr="00F62BA4">
        <w:rPr>
          <w:rFonts w:ascii="Times New Roman" w:hAnsi="Times New Roman" w:cs="Times New Roman"/>
          <w:sz w:val="24"/>
          <w:szCs w:val="24"/>
        </w:rPr>
        <w:t>Although the ostensible auspices of a civilian administration came into being in 1987, but until 1990, its list of accomplishments included negotiating with GoSL and the Indian Government in 1987 and little else.</w:t>
      </w:r>
      <w:r w:rsidR="00523E86" w:rsidRPr="00F62BA4">
        <w:rPr>
          <w:rStyle w:val="FootnoteReference"/>
          <w:rFonts w:ascii="Times New Roman" w:hAnsi="Times New Roman" w:cs="Times New Roman"/>
          <w:sz w:val="24"/>
          <w:szCs w:val="24"/>
        </w:rPr>
        <w:footnoteReference w:id="443"/>
      </w:r>
    </w:p>
    <w:p w:rsidR="00523E86" w:rsidRPr="00F62BA4" w:rsidRDefault="00523E86" w:rsidP="006D0328">
      <w:pPr>
        <w:rPr>
          <w:rFonts w:ascii="Times New Roman" w:hAnsi="Times New Roman" w:cs="Times New Roman"/>
          <w:sz w:val="24"/>
          <w:szCs w:val="24"/>
        </w:rPr>
      </w:pPr>
      <w:r w:rsidRPr="00F62BA4">
        <w:rPr>
          <w:rFonts w:ascii="Times New Roman" w:hAnsi="Times New Roman" w:cs="Times New Roman"/>
          <w:sz w:val="24"/>
          <w:szCs w:val="24"/>
        </w:rPr>
        <w:tab/>
        <w:t>This second phase came to a close when the LTTE and GoSL perceived a common enemy in the IPKF.</w:t>
      </w:r>
      <w:r w:rsidRPr="00F62BA4">
        <w:rPr>
          <w:rStyle w:val="FootnoteReference"/>
          <w:rFonts w:ascii="Times New Roman" w:hAnsi="Times New Roman" w:cs="Times New Roman"/>
          <w:sz w:val="24"/>
          <w:szCs w:val="24"/>
        </w:rPr>
        <w:footnoteReference w:id="444"/>
      </w:r>
      <w:r w:rsidRPr="00F62BA4">
        <w:rPr>
          <w:rFonts w:ascii="Times New Roman" w:hAnsi="Times New Roman" w:cs="Times New Roman"/>
          <w:sz w:val="24"/>
          <w:szCs w:val="24"/>
        </w:rPr>
        <w:t xml:space="preserve"> A short-lived alliance was struck, in part due to the extreme heavy-handedness of the Peacekeepers’ tactics and the accompanying violations of human rights. Ethnic Sinhalese resentment also played a major role in GoSL’s decision to arm the LTTE</w:t>
      </w:r>
      <w:r w:rsidR="00E63D13" w:rsidRPr="00F62BA4">
        <w:rPr>
          <w:rFonts w:ascii="Times New Roman" w:hAnsi="Times New Roman" w:cs="Times New Roman"/>
          <w:sz w:val="24"/>
          <w:szCs w:val="24"/>
        </w:rPr>
        <w:t>.</w:t>
      </w:r>
      <w:r w:rsidR="00E63D13" w:rsidRPr="00F62BA4">
        <w:rPr>
          <w:rStyle w:val="FootnoteReference"/>
          <w:rFonts w:ascii="Times New Roman" w:hAnsi="Times New Roman" w:cs="Times New Roman"/>
          <w:sz w:val="24"/>
          <w:szCs w:val="24"/>
        </w:rPr>
        <w:footnoteReference w:id="445"/>
      </w:r>
      <w:r w:rsidR="00E63D13" w:rsidRPr="00F62BA4">
        <w:rPr>
          <w:rFonts w:ascii="Times New Roman" w:hAnsi="Times New Roman" w:cs="Times New Roman"/>
          <w:sz w:val="24"/>
          <w:szCs w:val="24"/>
        </w:rPr>
        <w:t xml:space="preserve"> At this point, the war ceased to be civil, at least briefly.</w:t>
      </w:r>
    </w:p>
    <w:p w:rsidR="004D11D2" w:rsidRPr="00F62BA4" w:rsidRDefault="004D11D2" w:rsidP="006D0328">
      <w:pPr>
        <w:rPr>
          <w:rFonts w:ascii="Times New Roman" w:hAnsi="Times New Roman" w:cs="Times New Roman"/>
          <w:b/>
          <w:sz w:val="24"/>
          <w:szCs w:val="24"/>
        </w:rPr>
      </w:pPr>
      <w:r w:rsidRPr="00F62BA4">
        <w:rPr>
          <w:rFonts w:ascii="Times New Roman" w:hAnsi="Times New Roman" w:cs="Times New Roman"/>
          <w:b/>
          <w:sz w:val="24"/>
          <w:szCs w:val="24"/>
        </w:rPr>
        <w:t>Sri Lanka (1990-2002)</w:t>
      </w:r>
    </w:p>
    <w:p w:rsidR="00C7380F" w:rsidRPr="00F62BA4" w:rsidRDefault="00C7380F" w:rsidP="00C7380F">
      <w:pPr>
        <w:rPr>
          <w:rFonts w:ascii="Times New Roman" w:hAnsi="Times New Roman" w:cs="Times New Roman"/>
          <w:sz w:val="24"/>
          <w:szCs w:val="24"/>
        </w:rPr>
      </w:pPr>
      <w:r w:rsidRPr="00F62BA4">
        <w:rPr>
          <w:rFonts w:ascii="Times New Roman" w:hAnsi="Times New Roman" w:cs="Times New Roman"/>
          <w:sz w:val="24"/>
          <w:szCs w:val="24"/>
        </w:rPr>
        <w:lastRenderedPageBreak/>
        <w:t>Rebels / Incumbents: LTTE / GoSL</w:t>
      </w:r>
    </w:p>
    <w:p w:rsidR="00056CB2" w:rsidRPr="00F62BA4" w:rsidRDefault="005B1032" w:rsidP="00056CB2">
      <w:pPr>
        <w:rPr>
          <w:rFonts w:ascii="Times New Roman" w:hAnsi="Times New Roman" w:cs="Times New Roman"/>
          <w:b/>
          <w:sz w:val="24"/>
          <w:szCs w:val="24"/>
        </w:rPr>
      </w:pPr>
      <w:r>
        <w:rPr>
          <w:rFonts w:ascii="Times New Roman" w:hAnsi="Times New Roman" w:cs="Times New Roman"/>
          <w:b/>
          <w:sz w:val="24"/>
          <w:szCs w:val="24"/>
        </w:rPr>
        <w:t>Policing/juridical</w:t>
      </w:r>
      <w:r w:rsidR="00056CB2" w:rsidRPr="00F62BA4">
        <w:rPr>
          <w:rFonts w:ascii="Times New Roman" w:hAnsi="Times New Roman" w:cs="Times New Roman"/>
          <w:b/>
          <w:sz w:val="24"/>
          <w:szCs w:val="24"/>
        </w:rPr>
        <w:t xml:space="preserve">: 3; Public Goods: 2; </w:t>
      </w:r>
      <w:r>
        <w:rPr>
          <w:rFonts w:ascii="Times New Roman" w:hAnsi="Times New Roman" w:cs="Times New Roman"/>
          <w:b/>
          <w:sz w:val="24"/>
          <w:szCs w:val="24"/>
        </w:rPr>
        <w:t>Consultative instruments</w:t>
      </w:r>
      <w:r w:rsidR="00056CB2" w:rsidRPr="00F62BA4">
        <w:rPr>
          <w:rFonts w:ascii="Times New Roman" w:hAnsi="Times New Roman" w:cs="Times New Roman"/>
          <w:b/>
          <w:sz w:val="24"/>
          <w:szCs w:val="24"/>
        </w:rPr>
        <w:t>: 1</w:t>
      </w:r>
    </w:p>
    <w:p w:rsidR="00D9041C" w:rsidRPr="00F62BA4" w:rsidRDefault="00E63D13" w:rsidP="006D0328">
      <w:pPr>
        <w:rPr>
          <w:rFonts w:ascii="Times New Roman" w:hAnsi="Times New Roman" w:cs="Times New Roman"/>
          <w:sz w:val="24"/>
          <w:szCs w:val="24"/>
        </w:rPr>
      </w:pPr>
      <w:r w:rsidRPr="00F62BA4">
        <w:rPr>
          <w:rFonts w:ascii="Times New Roman" w:hAnsi="Times New Roman" w:cs="Times New Roman"/>
          <w:sz w:val="24"/>
          <w:szCs w:val="24"/>
        </w:rPr>
        <w:tab/>
        <w:t>In the wake of the IPKF withdrawal, the LTTE wasted little time in establishing control of Sri Lanka’s northeastern provinces.</w:t>
      </w:r>
      <w:r w:rsidRPr="00F62BA4">
        <w:rPr>
          <w:rStyle w:val="FootnoteReference"/>
          <w:rFonts w:ascii="Times New Roman" w:hAnsi="Times New Roman" w:cs="Times New Roman"/>
          <w:sz w:val="24"/>
          <w:szCs w:val="24"/>
        </w:rPr>
        <w:footnoteReference w:id="446"/>
      </w:r>
      <w:r w:rsidRPr="00F62BA4">
        <w:rPr>
          <w:rFonts w:ascii="Times New Roman" w:hAnsi="Times New Roman" w:cs="Times New Roman"/>
          <w:sz w:val="24"/>
          <w:szCs w:val="24"/>
        </w:rPr>
        <w:t xml:space="preserve"> It was at this point that the LTTE also began acting as governors as well as rebels, even as hostilities quickly resumed between the group and GoSL. In spite of their lack of success of until this point, LTTE administration achieved a remarkable level of competence relatively quickly.</w:t>
      </w:r>
    </w:p>
    <w:p w:rsidR="00D9041C" w:rsidRPr="00F62BA4" w:rsidRDefault="00E63D13" w:rsidP="006D0328">
      <w:pPr>
        <w:rPr>
          <w:rFonts w:ascii="Times New Roman" w:hAnsi="Times New Roman" w:cs="Times New Roman"/>
          <w:sz w:val="24"/>
          <w:szCs w:val="24"/>
        </w:rPr>
      </w:pPr>
      <w:r w:rsidRPr="00F62BA4">
        <w:rPr>
          <w:rFonts w:ascii="Times New Roman" w:hAnsi="Times New Roman" w:cs="Times New Roman"/>
          <w:sz w:val="24"/>
          <w:szCs w:val="24"/>
        </w:rPr>
        <w:tab/>
        <w:t>One of the secret’s to LTTE success in this realm is related one of Mampilly’s hypotheses: well-administered states tend to produce rebels who themselves are well-equipped to administer their territory.</w:t>
      </w:r>
      <w:r w:rsidR="00640951" w:rsidRPr="00F62BA4">
        <w:rPr>
          <w:rStyle w:val="FootnoteReference"/>
          <w:rFonts w:ascii="Times New Roman" w:hAnsi="Times New Roman" w:cs="Times New Roman"/>
          <w:sz w:val="24"/>
          <w:szCs w:val="24"/>
        </w:rPr>
        <w:footnoteReference w:id="447"/>
      </w:r>
      <w:r w:rsidR="00640951" w:rsidRPr="00F62BA4">
        <w:rPr>
          <w:rFonts w:ascii="Times New Roman" w:hAnsi="Times New Roman" w:cs="Times New Roman"/>
          <w:sz w:val="24"/>
          <w:szCs w:val="24"/>
        </w:rPr>
        <w:t xml:space="preserve"> Nowhere is this clearer than in the case of Tamil administration during the war’s third chapter. Rather than dismantle GoSL’s structures of governance in an attempt to institutionalize their revolutionary agenda, LTTE essentially replicated GoSL’s structures to remarkable effect.</w:t>
      </w:r>
      <w:r w:rsidR="00640951" w:rsidRPr="00F62BA4">
        <w:rPr>
          <w:rStyle w:val="FootnoteReference"/>
          <w:rFonts w:ascii="Times New Roman" w:hAnsi="Times New Roman" w:cs="Times New Roman"/>
          <w:sz w:val="24"/>
          <w:szCs w:val="24"/>
        </w:rPr>
        <w:footnoteReference w:id="448"/>
      </w:r>
      <w:r w:rsidR="00640951" w:rsidRPr="00F62BA4">
        <w:rPr>
          <w:rFonts w:ascii="Times New Roman" w:hAnsi="Times New Roman" w:cs="Times New Roman"/>
          <w:sz w:val="24"/>
          <w:szCs w:val="24"/>
        </w:rPr>
        <w:t xml:space="preserve"> While they largely replaced their territories’ domestic security forces, their cooption of Sri Lankan judicial institutions required much less turnover, at least institutionally. Although some of the legal system’s particulars were changed to fit their needs (for instance, land courts were established to determine land values so the rebels could more easily collect taxes), the penal code in Tamil Eelam resembled colonial British Law as much as did that of GoSL.</w:t>
      </w:r>
      <w:r w:rsidR="00640951" w:rsidRPr="00F62BA4">
        <w:rPr>
          <w:rStyle w:val="FootnoteReference"/>
          <w:rFonts w:ascii="Times New Roman" w:hAnsi="Times New Roman" w:cs="Times New Roman"/>
          <w:sz w:val="24"/>
          <w:szCs w:val="24"/>
        </w:rPr>
        <w:footnoteReference w:id="449"/>
      </w:r>
      <w:r w:rsidR="00726C29" w:rsidRPr="00F62BA4">
        <w:rPr>
          <w:rFonts w:ascii="Times New Roman" w:hAnsi="Times New Roman" w:cs="Times New Roman"/>
          <w:sz w:val="24"/>
          <w:szCs w:val="24"/>
        </w:rPr>
        <w:t xml:space="preserve"> These modes of governance replicated the application and enforcement of law and order in a well-administered state and the rebels enjoyed a noteworthy degree of legitimacy because of it. </w:t>
      </w:r>
    </w:p>
    <w:p w:rsidR="00EB5C4F" w:rsidRPr="00F62BA4" w:rsidRDefault="00640951" w:rsidP="006D0328">
      <w:pPr>
        <w:rPr>
          <w:rFonts w:ascii="Times New Roman" w:hAnsi="Times New Roman" w:cs="Times New Roman"/>
          <w:sz w:val="24"/>
          <w:szCs w:val="24"/>
        </w:rPr>
      </w:pPr>
      <w:r w:rsidRPr="00F62BA4">
        <w:rPr>
          <w:rFonts w:ascii="Times New Roman" w:hAnsi="Times New Roman" w:cs="Times New Roman"/>
          <w:sz w:val="24"/>
          <w:szCs w:val="24"/>
        </w:rPr>
        <w:tab/>
      </w:r>
      <w:r w:rsidR="00726C29" w:rsidRPr="00F62BA4">
        <w:rPr>
          <w:rFonts w:ascii="Times New Roman" w:hAnsi="Times New Roman" w:cs="Times New Roman"/>
          <w:sz w:val="24"/>
          <w:szCs w:val="24"/>
        </w:rPr>
        <w:t>The provision of p</w:t>
      </w:r>
      <w:r w:rsidR="00260E83" w:rsidRPr="00F62BA4">
        <w:rPr>
          <w:rFonts w:ascii="Times New Roman" w:hAnsi="Times New Roman" w:cs="Times New Roman"/>
          <w:sz w:val="24"/>
          <w:szCs w:val="24"/>
        </w:rPr>
        <w:t>ublic goods was less successful</w:t>
      </w:r>
      <w:r w:rsidR="00726C29" w:rsidRPr="00F62BA4">
        <w:rPr>
          <w:rFonts w:ascii="Times New Roman" w:hAnsi="Times New Roman" w:cs="Times New Roman"/>
          <w:sz w:val="24"/>
          <w:szCs w:val="24"/>
        </w:rPr>
        <w:t>.</w:t>
      </w:r>
      <w:r w:rsidR="00260E83" w:rsidRPr="00F62BA4">
        <w:rPr>
          <w:rFonts w:ascii="Times New Roman" w:hAnsi="Times New Roman" w:cs="Times New Roman"/>
          <w:sz w:val="24"/>
          <w:szCs w:val="24"/>
        </w:rPr>
        <w:t xml:space="preserve"> </w:t>
      </w:r>
      <w:r w:rsidR="00EB5C4F" w:rsidRPr="00F62BA4">
        <w:rPr>
          <w:rFonts w:ascii="Times New Roman" w:hAnsi="Times New Roman" w:cs="Times New Roman"/>
          <w:sz w:val="24"/>
          <w:szCs w:val="24"/>
        </w:rPr>
        <w:t>Providing healthcare within LTTE-controlled territories was especially difficult, due to a lack of pre-existing facilities in these territories, a GoSL embargo which greatly restricted supplies, and a hesitance among qualified Tamils to work in a warzone.</w:t>
      </w:r>
      <w:r w:rsidR="00EB5C4F" w:rsidRPr="00F62BA4">
        <w:rPr>
          <w:rStyle w:val="FootnoteReference"/>
          <w:rFonts w:ascii="Times New Roman" w:hAnsi="Times New Roman" w:cs="Times New Roman"/>
          <w:sz w:val="24"/>
          <w:szCs w:val="24"/>
        </w:rPr>
        <w:footnoteReference w:id="450"/>
      </w:r>
      <w:r w:rsidR="00EB5C4F" w:rsidRPr="00F62BA4">
        <w:rPr>
          <w:rFonts w:ascii="Times New Roman" w:hAnsi="Times New Roman" w:cs="Times New Roman"/>
          <w:sz w:val="24"/>
          <w:szCs w:val="24"/>
        </w:rPr>
        <w:t xml:space="preserve"> Interestingly, the GoSL appeared to be more invested in healthcare provision in LTTE-controlled areas than even the LTTE.</w:t>
      </w:r>
      <w:r w:rsidR="00260E83" w:rsidRPr="00F62BA4">
        <w:rPr>
          <w:rStyle w:val="FootnoteReference"/>
          <w:rFonts w:ascii="Times New Roman" w:hAnsi="Times New Roman" w:cs="Times New Roman"/>
          <w:sz w:val="24"/>
          <w:szCs w:val="24"/>
        </w:rPr>
        <w:footnoteReference w:id="451"/>
      </w:r>
    </w:p>
    <w:p w:rsidR="00260E83" w:rsidRPr="00F62BA4" w:rsidRDefault="00EB5C4F" w:rsidP="006D0328">
      <w:pPr>
        <w:rPr>
          <w:rFonts w:ascii="Times New Roman" w:hAnsi="Times New Roman" w:cs="Times New Roman"/>
          <w:sz w:val="24"/>
          <w:szCs w:val="24"/>
        </w:rPr>
      </w:pPr>
      <w:r w:rsidRPr="00F62BA4">
        <w:rPr>
          <w:rFonts w:ascii="Times New Roman" w:hAnsi="Times New Roman" w:cs="Times New Roman"/>
          <w:sz w:val="24"/>
          <w:szCs w:val="24"/>
        </w:rPr>
        <w:tab/>
        <w:t xml:space="preserve">Education is another story. The LTTE was proactive in supporting </w:t>
      </w:r>
      <w:r w:rsidR="00685820" w:rsidRPr="00F62BA4">
        <w:rPr>
          <w:rFonts w:ascii="Times New Roman" w:hAnsi="Times New Roman" w:cs="Times New Roman"/>
          <w:sz w:val="24"/>
          <w:szCs w:val="24"/>
        </w:rPr>
        <w:t>education within its controlled territories, creating the Tamil Eelam Education Council (TEEC) to administer it.</w:t>
      </w:r>
      <w:r w:rsidRPr="00F62BA4">
        <w:rPr>
          <w:rStyle w:val="FootnoteReference"/>
          <w:rFonts w:ascii="Times New Roman" w:hAnsi="Times New Roman" w:cs="Times New Roman"/>
          <w:sz w:val="24"/>
          <w:szCs w:val="24"/>
        </w:rPr>
        <w:footnoteReference w:id="452"/>
      </w:r>
      <w:r w:rsidR="00685820" w:rsidRPr="00F62BA4">
        <w:rPr>
          <w:rFonts w:ascii="Times New Roman" w:hAnsi="Times New Roman" w:cs="Times New Roman"/>
          <w:sz w:val="24"/>
          <w:szCs w:val="24"/>
        </w:rPr>
        <w:t xml:space="preserve"> Although the war naturally made this more difficult, the success (and remarkable continuity) of educational provision in controlled areas </w:t>
      </w:r>
      <w:r w:rsidR="001C1F63" w:rsidRPr="00F62BA4">
        <w:rPr>
          <w:rFonts w:ascii="Times New Roman" w:hAnsi="Times New Roman" w:cs="Times New Roman"/>
          <w:sz w:val="24"/>
          <w:szCs w:val="24"/>
        </w:rPr>
        <w:t>is evident in the high levels of schooling and (relatively) low dropout levels achieved at war’s end (15%) in spite of two decades of nearly uninterrupted bloodshed.</w:t>
      </w:r>
      <w:r w:rsidR="00260E83" w:rsidRPr="00F62BA4">
        <w:rPr>
          <w:rFonts w:ascii="Times New Roman" w:hAnsi="Times New Roman" w:cs="Times New Roman"/>
          <w:sz w:val="24"/>
          <w:szCs w:val="24"/>
        </w:rPr>
        <w:t xml:space="preserve"> </w:t>
      </w:r>
    </w:p>
    <w:p w:rsidR="006D0328" w:rsidRPr="00F62BA4" w:rsidRDefault="00D9041C">
      <w:pPr>
        <w:rPr>
          <w:rFonts w:ascii="Times New Roman" w:hAnsi="Times New Roman" w:cs="Times New Roman"/>
          <w:sz w:val="24"/>
          <w:szCs w:val="24"/>
        </w:rPr>
      </w:pPr>
      <w:r w:rsidRPr="00F62BA4">
        <w:rPr>
          <w:rFonts w:ascii="Times New Roman" w:hAnsi="Times New Roman" w:cs="Times New Roman"/>
          <w:sz w:val="24"/>
          <w:szCs w:val="24"/>
        </w:rPr>
        <w:lastRenderedPageBreak/>
        <w:tab/>
        <w:t xml:space="preserve">Although </w:t>
      </w:r>
      <w:r w:rsidR="005B1032">
        <w:rPr>
          <w:rFonts w:ascii="Times New Roman" w:hAnsi="Times New Roman" w:cs="Times New Roman"/>
          <w:sz w:val="24"/>
          <w:szCs w:val="24"/>
        </w:rPr>
        <w:t>consultative instruments</w:t>
      </w:r>
      <w:r w:rsidRPr="00F62BA4">
        <w:rPr>
          <w:rFonts w:ascii="Times New Roman" w:hAnsi="Times New Roman" w:cs="Times New Roman"/>
          <w:sz w:val="24"/>
          <w:szCs w:val="24"/>
        </w:rPr>
        <w:t xml:space="preserve"> existed, the forms of feedback which were supported were closely curated by LTTE leadership. The LTTE was as dedicated to authoritarian governance as it was to being the sole instrument of Tamil liberation.</w:t>
      </w:r>
      <w:r w:rsidRPr="00F62BA4">
        <w:rPr>
          <w:rStyle w:val="FootnoteReference"/>
          <w:rFonts w:ascii="Times New Roman" w:hAnsi="Times New Roman" w:cs="Times New Roman"/>
          <w:sz w:val="24"/>
          <w:szCs w:val="24"/>
        </w:rPr>
        <w:footnoteReference w:id="453"/>
      </w:r>
      <w:r w:rsidRPr="00F62BA4">
        <w:rPr>
          <w:rFonts w:ascii="Times New Roman" w:hAnsi="Times New Roman" w:cs="Times New Roman"/>
          <w:sz w:val="24"/>
          <w:szCs w:val="24"/>
        </w:rPr>
        <w:t xml:space="preserve"> Similarly, a</w:t>
      </w:r>
      <w:r w:rsidR="006C17C2" w:rsidRPr="00F62BA4">
        <w:rPr>
          <w:rFonts w:ascii="Times New Roman" w:hAnsi="Times New Roman" w:cs="Times New Roman"/>
          <w:sz w:val="24"/>
          <w:szCs w:val="24"/>
        </w:rPr>
        <w:t>lthough the LTTE had developed its</w:t>
      </w:r>
      <w:r w:rsidRPr="00F62BA4">
        <w:rPr>
          <w:rFonts w:ascii="Times New Roman" w:hAnsi="Times New Roman" w:cs="Times New Roman"/>
          <w:sz w:val="24"/>
          <w:szCs w:val="24"/>
        </w:rPr>
        <w:t xml:space="preserve"> political wing by 2002, it was subordinate to the group’s military wing and effectively did not exist</w:t>
      </w:r>
      <w:r w:rsidR="006C17C2" w:rsidRPr="00F62BA4">
        <w:rPr>
          <w:rFonts w:ascii="Times New Roman" w:hAnsi="Times New Roman" w:cs="Times New Roman"/>
          <w:sz w:val="24"/>
          <w:szCs w:val="24"/>
        </w:rPr>
        <w:t xml:space="preserve"> as an autonomous actor</w:t>
      </w:r>
      <w:r w:rsidRPr="00F62BA4">
        <w:rPr>
          <w:rFonts w:ascii="Times New Roman" w:hAnsi="Times New Roman" w:cs="Times New Roman"/>
          <w:sz w:val="24"/>
          <w:szCs w:val="24"/>
        </w:rPr>
        <w:t xml:space="preserve"> until just before the conflict’</w:t>
      </w:r>
      <w:r w:rsidR="00640951" w:rsidRPr="00F62BA4">
        <w:rPr>
          <w:rFonts w:ascii="Times New Roman" w:hAnsi="Times New Roman" w:cs="Times New Roman"/>
          <w:sz w:val="24"/>
          <w:szCs w:val="24"/>
        </w:rPr>
        <w:t>s respite, even as its activities increased dramatically during the 1990’s.</w:t>
      </w:r>
      <w:r w:rsidR="00945D4F" w:rsidRPr="00F62BA4">
        <w:rPr>
          <w:rFonts w:ascii="Times New Roman" w:hAnsi="Times New Roman" w:cs="Times New Roman"/>
          <w:sz w:val="24"/>
          <w:szCs w:val="24"/>
        </w:rPr>
        <w:t xml:space="preserve"> As such, in spite of the LTTE’s incorporation of non-military figures in civil administration,</w:t>
      </w:r>
      <w:r w:rsidR="00945D4F" w:rsidRPr="00F62BA4">
        <w:rPr>
          <w:rStyle w:val="FootnoteReference"/>
          <w:rFonts w:ascii="Times New Roman" w:hAnsi="Times New Roman" w:cs="Times New Roman"/>
          <w:sz w:val="24"/>
          <w:szCs w:val="24"/>
        </w:rPr>
        <w:footnoteReference w:id="454"/>
      </w:r>
      <w:r w:rsidR="00945D4F" w:rsidRPr="00F62BA4">
        <w:rPr>
          <w:rFonts w:ascii="Times New Roman" w:hAnsi="Times New Roman" w:cs="Times New Roman"/>
          <w:sz w:val="24"/>
          <w:szCs w:val="24"/>
        </w:rPr>
        <w:t xml:space="preserve"> the provision of </w:t>
      </w:r>
      <w:r w:rsidR="005B1032">
        <w:rPr>
          <w:rFonts w:ascii="Times New Roman" w:hAnsi="Times New Roman" w:cs="Times New Roman"/>
          <w:sz w:val="24"/>
          <w:szCs w:val="24"/>
        </w:rPr>
        <w:t>consultative instruments</w:t>
      </w:r>
      <w:r w:rsidR="00945D4F" w:rsidRPr="00F62BA4">
        <w:rPr>
          <w:rFonts w:ascii="Times New Roman" w:hAnsi="Times New Roman" w:cs="Times New Roman"/>
          <w:sz w:val="24"/>
          <w:szCs w:val="24"/>
        </w:rPr>
        <w:t xml:space="preserve"> is marginal in this case.</w:t>
      </w:r>
    </w:p>
    <w:p w:rsidR="00805A7D" w:rsidRPr="00F62BA4" w:rsidRDefault="00805A7D" w:rsidP="00805A7D">
      <w:pPr>
        <w:rPr>
          <w:rFonts w:ascii="Times New Roman" w:hAnsi="Times New Roman" w:cs="Times New Roman"/>
          <w:b/>
          <w:sz w:val="24"/>
          <w:szCs w:val="24"/>
        </w:rPr>
      </w:pPr>
      <w:r w:rsidRPr="00F62BA4">
        <w:rPr>
          <w:rFonts w:ascii="Times New Roman" w:hAnsi="Times New Roman" w:cs="Times New Roman"/>
          <w:b/>
          <w:sz w:val="24"/>
          <w:szCs w:val="24"/>
        </w:rPr>
        <w:t>Sudan (1983-2005)</w:t>
      </w:r>
    </w:p>
    <w:p w:rsidR="00D42950" w:rsidRPr="00F62BA4" w:rsidRDefault="00D42950" w:rsidP="00805A7D">
      <w:pPr>
        <w:rPr>
          <w:rFonts w:ascii="Times New Roman" w:hAnsi="Times New Roman" w:cs="Times New Roman"/>
          <w:sz w:val="24"/>
          <w:szCs w:val="24"/>
        </w:rPr>
      </w:pPr>
      <w:r w:rsidRPr="00F62BA4">
        <w:rPr>
          <w:rFonts w:ascii="Times New Roman" w:hAnsi="Times New Roman" w:cs="Times New Roman"/>
          <w:sz w:val="24"/>
          <w:szCs w:val="24"/>
        </w:rPr>
        <w:t>Rebels</w:t>
      </w:r>
      <w:r w:rsidR="0093439C" w:rsidRPr="00F62BA4">
        <w:rPr>
          <w:rFonts w:ascii="Times New Roman" w:hAnsi="Times New Roman" w:cs="Times New Roman"/>
          <w:sz w:val="24"/>
          <w:szCs w:val="24"/>
        </w:rPr>
        <w:t xml:space="preserve"> / Incumbents</w:t>
      </w:r>
      <w:r w:rsidRPr="00F62BA4">
        <w:rPr>
          <w:rFonts w:ascii="Times New Roman" w:hAnsi="Times New Roman" w:cs="Times New Roman"/>
          <w:sz w:val="24"/>
          <w:szCs w:val="24"/>
        </w:rPr>
        <w:t xml:space="preserve">: </w:t>
      </w:r>
      <w:r w:rsidR="00C7380F" w:rsidRPr="00F62BA4">
        <w:rPr>
          <w:rFonts w:ascii="Times New Roman" w:hAnsi="Times New Roman" w:cs="Times New Roman"/>
          <w:sz w:val="24"/>
          <w:szCs w:val="24"/>
        </w:rPr>
        <w:t>Sudan People’s Liberation Movement/Army (</w:t>
      </w:r>
      <w:r w:rsidRPr="00F62BA4">
        <w:rPr>
          <w:rFonts w:ascii="Times New Roman" w:hAnsi="Times New Roman" w:cs="Times New Roman"/>
          <w:sz w:val="24"/>
          <w:szCs w:val="24"/>
        </w:rPr>
        <w:t>SPLM/A</w:t>
      </w:r>
      <w:r w:rsidR="00C7380F" w:rsidRPr="00F62BA4">
        <w:rPr>
          <w:rFonts w:ascii="Times New Roman" w:hAnsi="Times New Roman" w:cs="Times New Roman"/>
          <w:sz w:val="24"/>
          <w:szCs w:val="24"/>
        </w:rPr>
        <w:t>)</w:t>
      </w:r>
      <w:r w:rsidR="0093439C" w:rsidRPr="00F62BA4">
        <w:rPr>
          <w:rFonts w:ascii="Times New Roman" w:hAnsi="Times New Roman" w:cs="Times New Roman"/>
          <w:sz w:val="24"/>
          <w:szCs w:val="24"/>
        </w:rPr>
        <w:t xml:space="preserve"> / Government of Sudan (GoS)</w:t>
      </w:r>
    </w:p>
    <w:p w:rsidR="00D42950" w:rsidRPr="00F62BA4" w:rsidRDefault="005B1032" w:rsidP="00805A7D">
      <w:pPr>
        <w:rPr>
          <w:rFonts w:ascii="Times New Roman" w:hAnsi="Times New Roman" w:cs="Times New Roman"/>
          <w:b/>
          <w:sz w:val="24"/>
          <w:szCs w:val="24"/>
        </w:rPr>
      </w:pPr>
      <w:r>
        <w:rPr>
          <w:rFonts w:ascii="Times New Roman" w:hAnsi="Times New Roman" w:cs="Times New Roman"/>
          <w:b/>
          <w:sz w:val="24"/>
          <w:szCs w:val="24"/>
        </w:rPr>
        <w:t>Policing/juridical</w:t>
      </w:r>
      <w:r w:rsidR="00D42950" w:rsidRPr="00F62BA4">
        <w:rPr>
          <w:rFonts w:ascii="Times New Roman" w:hAnsi="Times New Roman" w:cs="Times New Roman"/>
          <w:b/>
          <w:sz w:val="24"/>
          <w:szCs w:val="24"/>
        </w:rPr>
        <w:t>: 2; Public Goods</w:t>
      </w:r>
      <w:r w:rsidR="007111A3" w:rsidRPr="00F62BA4">
        <w:rPr>
          <w:rFonts w:ascii="Times New Roman" w:hAnsi="Times New Roman" w:cs="Times New Roman"/>
          <w:b/>
          <w:sz w:val="24"/>
          <w:szCs w:val="24"/>
        </w:rPr>
        <w:t xml:space="preserve">: 1; </w:t>
      </w:r>
      <w:r>
        <w:rPr>
          <w:rFonts w:ascii="Times New Roman" w:hAnsi="Times New Roman" w:cs="Times New Roman"/>
          <w:b/>
          <w:sz w:val="24"/>
          <w:szCs w:val="24"/>
        </w:rPr>
        <w:t>Consultative instruments</w:t>
      </w:r>
      <w:r w:rsidR="007111A3" w:rsidRPr="00F62BA4">
        <w:rPr>
          <w:rFonts w:ascii="Times New Roman" w:hAnsi="Times New Roman" w:cs="Times New Roman"/>
          <w:b/>
          <w:sz w:val="24"/>
          <w:szCs w:val="24"/>
        </w:rPr>
        <w:t>: 1</w:t>
      </w:r>
    </w:p>
    <w:p w:rsidR="00AA00BE" w:rsidRPr="00AA00BE" w:rsidRDefault="00AA00BE" w:rsidP="004B3AAD">
      <w:pPr>
        <w:rPr>
          <w:rFonts w:ascii="Times New Roman" w:hAnsi="Times New Roman" w:cs="Times New Roman"/>
          <w:sz w:val="24"/>
          <w:szCs w:val="24"/>
        </w:rPr>
      </w:pPr>
      <w:r>
        <w:rPr>
          <w:rFonts w:ascii="Times New Roman" w:hAnsi="Times New Roman" w:cs="Times New Roman"/>
          <w:sz w:val="24"/>
          <w:szCs w:val="24"/>
        </w:rPr>
        <w:t>See Case Study Chapter</w:t>
      </w:r>
    </w:p>
    <w:p w:rsidR="004B3AAD" w:rsidRPr="00F62BA4" w:rsidRDefault="004B3AAD" w:rsidP="004B3AAD">
      <w:pPr>
        <w:rPr>
          <w:rFonts w:ascii="Times New Roman" w:hAnsi="Times New Roman" w:cs="Times New Roman"/>
          <w:b/>
          <w:sz w:val="24"/>
          <w:szCs w:val="24"/>
        </w:rPr>
      </w:pPr>
      <w:r w:rsidRPr="00F62BA4">
        <w:rPr>
          <w:rFonts w:ascii="Times New Roman" w:hAnsi="Times New Roman" w:cs="Times New Roman"/>
          <w:b/>
          <w:sz w:val="24"/>
          <w:szCs w:val="24"/>
        </w:rPr>
        <w:t>Tajikistan (1992-1997)</w:t>
      </w:r>
    </w:p>
    <w:p w:rsidR="004B3AAD" w:rsidRPr="00F62BA4" w:rsidRDefault="004B3AAD" w:rsidP="004B3AAD">
      <w:pPr>
        <w:rPr>
          <w:rFonts w:ascii="Times New Roman" w:hAnsi="Times New Roman" w:cs="Times New Roman"/>
          <w:sz w:val="24"/>
          <w:szCs w:val="24"/>
        </w:rPr>
      </w:pPr>
      <w:r w:rsidRPr="00F62BA4">
        <w:rPr>
          <w:rFonts w:ascii="Times New Roman" w:hAnsi="Times New Roman" w:cs="Times New Roman"/>
          <w:sz w:val="24"/>
          <w:szCs w:val="24"/>
        </w:rPr>
        <w:t xml:space="preserve">Rebels / Incumbents: </w:t>
      </w:r>
      <w:r w:rsidR="0099121F" w:rsidRPr="00F62BA4">
        <w:rPr>
          <w:rFonts w:ascii="Times New Roman" w:hAnsi="Times New Roman" w:cs="Times New Roman"/>
          <w:sz w:val="24"/>
          <w:szCs w:val="24"/>
        </w:rPr>
        <w:t>United Tajik Opposition</w:t>
      </w:r>
      <w:r w:rsidR="00404F9D" w:rsidRPr="00F62BA4">
        <w:rPr>
          <w:rFonts w:ascii="Times New Roman" w:hAnsi="Times New Roman" w:cs="Times New Roman"/>
          <w:sz w:val="24"/>
          <w:szCs w:val="24"/>
        </w:rPr>
        <w:t xml:space="preserve"> (UTO)</w:t>
      </w:r>
      <w:r w:rsidRPr="00F62BA4">
        <w:rPr>
          <w:rFonts w:ascii="Times New Roman" w:hAnsi="Times New Roman" w:cs="Times New Roman"/>
          <w:sz w:val="24"/>
          <w:szCs w:val="24"/>
        </w:rPr>
        <w:t xml:space="preserve"> / </w:t>
      </w:r>
      <w:r w:rsidR="0099121F" w:rsidRPr="00F62BA4">
        <w:rPr>
          <w:rFonts w:ascii="Times New Roman" w:hAnsi="Times New Roman" w:cs="Times New Roman"/>
          <w:sz w:val="24"/>
          <w:szCs w:val="24"/>
        </w:rPr>
        <w:t>Tajikistan</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404F9D" w:rsidRPr="00F62BA4" w:rsidRDefault="00404F9D" w:rsidP="004B3AAD">
      <w:pPr>
        <w:rPr>
          <w:rFonts w:ascii="Times New Roman" w:hAnsi="Times New Roman" w:cs="Times New Roman"/>
          <w:sz w:val="24"/>
          <w:szCs w:val="24"/>
        </w:rPr>
      </w:pPr>
      <w:r w:rsidRPr="00F62BA4">
        <w:rPr>
          <w:rFonts w:ascii="Times New Roman" w:hAnsi="Times New Roman" w:cs="Times New Roman"/>
          <w:sz w:val="24"/>
          <w:szCs w:val="24"/>
        </w:rPr>
        <w:tab/>
        <w:t>Shortly after securing independence, Tajikistan was gripped by a civil war waged by various groups (predominantly Islamists and pro-democracy reformists) against the country’s post-Soviet government.</w:t>
      </w:r>
      <w:r w:rsidRPr="00F62BA4">
        <w:rPr>
          <w:rStyle w:val="FootnoteReference"/>
          <w:rFonts w:ascii="Times New Roman" w:hAnsi="Times New Roman" w:cs="Times New Roman"/>
          <w:sz w:val="24"/>
          <w:szCs w:val="24"/>
        </w:rPr>
        <w:footnoteReference w:id="455"/>
      </w:r>
      <w:r w:rsidRPr="00F62BA4">
        <w:rPr>
          <w:rFonts w:ascii="Times New Roman" w:hAnsi="Times New Roman" w:cs="Times New Roman"/>
          <w:sz w:val="24"/>
          <w:szCs w:val="24"/>
        </w:rPr>
        <w:t xml:space="preserve"> These groups coalesced relatively quickly, forming the UTO </w:t>
      </w:r>
      <w:r w:rsidR="006D136E" w:rsidRPr="00F62BA4">
        <w:rPr>
          <w:rFonts w:ascii="Times New Roman" w:hAnsi="Times New Roman" w:cs="Times New Roman"/>
          <w:sz w:val="24"/>
          <w:szCs w:val="24"/>
        </w:rPr>
        <w:t>after the initial victory of pro-government forces in December 1992.</w:t>
      </w:r>
      <w:r w:rsidR="006D136E" w:rsidRPr="00F62BA4">
        <w:rPr>
          <w:rStyle w:val="FootnoteReference"/>
          <w:rFonts w:ascii="Times New Roman" w:hAnsi="Times New Roman" w:cs="Times New Roman"/>
          <w:sz w:val="24"/>
          <w:szCs w:val="24"/>
        </w:rPr>
        <w:footnoteReference w:id="456"/>
      </w:r>
      <w:r w:rsidR="00C92600" w:rsidRPr="00F62BA4">
        <w:rPr>
          <w:rFonts w:ascii="Times New Roman" w:hAnsi="Times New Roman" w:cs="Times New Roman"/>
          <w:sz w:val="24"/>
          <w:szCs w:val="24"/>
        </w:rPr>
        <w:t xml:space="preserve"> In spite of the ostensible pro-democracy stance of the UTO, very little in the way of governance developed over the course of the conflict.</w:t>
      </w:r>
    </w:p>
    <w:p w:rsidR="00C92600" w:rsidRPr="00F62BA4" w:rsidRDefault="00C92600" w:rsidP="004B3AAD">
      <w:pPr>
        <w:rPr>
          <w:rFonts w:ascii="Times New Roman" w:hAnsi="Times New Roman" w:cs="Times New Roman"/>
          <w:sz w:val="24"/>
          <w:szCs w:val="24"/>
        </w:rPr>
      </w:pPr>
      <w:r w:rsidRPr="00F62BA4">
        <w:rPr>
          <w:rFonts w:ascii="Times New Roman" w:hAnsi="Times New Roman" w:cs="Times New Roman"/>
          <w:sz w:val="24"/>
          <w:szCs w:val="24"/>
        </w:rPr>
        <w:tab/>
        <w:t>Although the war itself is remarkably lightly covered, some things are known. First, both the government and the UTO lacked traditional standing armies. Because of this, militias and criminal elements did much of the actual fighting in the war’s early proceedings.</w:t>
      </w:r>
      <w:r w:rsidRPr="00F62BA4">
        <w:rPr>
          <w:rStyle w:val="FootnoteReference"/>
          <w:rFonts w:ascii="Times New Roman" w:hAnsi="Times New Roman" w:cs="Times New Roman"/>
          <w:sz w:val="24"/>
          <w:szCs w:val="24"/>
        </w:rPr>
        <w:footnoteReference w:id="457"/>
      </w:r>
      <w:r w:rsidR="001B05CB" w:rsidRPr="00F62BA4">
        <w:rPr>
          <w:rFonts w:ascii="Times New Roman" w:hAnsi="Times New Roman" w:cs="Times New Roman"/>
          <w:sz w:val="24"/>
          <w:szCs w:val="24"/>
        </w:rPr>
        <w:t xml:space="preserve"> The relationship between civilian and combatant was, according to those accounts which do exist, purely exploitative. Those who were physically able to fight were conscripted into the first “army” that could find them and civilian material support to the combatants was given in the face of the (sometimes explicit, sometimes implicit) threat of violence.</w:t>
      </w:r>
    </w:p>
    <w:p w:rsidR="00716D1D" w:rsidRPr="00F62BA4" w:rsidRDefault="00716D1D" w:rsidP="004B3AAD">
      <w:pPr>
        <w:rPr>
          <w:rFonts w:ascii="Times New Roman" w:hAnsi="Times New Roman" w:cs="Times New Roman"/>
          <w:sz w:val="24"/>
          <w:szCs w:val="24"/>
        </w:rPr>
      </w:pPr>
      <w:r w:rsidRPr="00F62BA4">
        <w:rPr>
          <w:rFonts w:ascii="Times New Roman" w:hAnsi="Times New Roman" w:cs="Times New Roman"/>
          <w:b/>
          <w:sz w:val="24"/>
          <w:szCs w:val="24"/>
        </w:rPr>
        <w:t>Turkey (1984-1999)</w:t>
      </w:r>
    </w:p>
    <w:p w:rsidR="00716D1D" w:rsidRPr="00F62BA4" w:rsidRDefault="00EB77B8" w:rsidP="004B3AAD">
      <w:pPr>
        <w:rPr>
          <w:rFonts w:ascii="Times New Roman" w:hAnsi="Times New Roman" w:cs="Times New Roman"/>
          <w:sz w:val="24"/>
          <w:szCs w:val="24"/>
        </w:rPr>
      </w:pPr>
      <w:r w:rsidRPr="00F62BA4">
        <w:rPr>
          <w:rFonts w:ascii="Times New Roman" w:hAnsi="Times New Roman" w:cs="Times New Roman"/>
          <w:sz w:val="24"/>
          <w:szCs w:val="24"/>
        </w:rPr>
        <w:lastRenderedPageBreak/>
        <w:t>Rebels / Incumbents: Kurdistan</w:t>
      </w:r>
      <w:r w:rsidR="00716D1D" w:rsidRPr="00F62BA4">
        <w:rPr>
          <w:rFonts w:ascii="Times New Roman" w:hAnsi="Times New Roman" w:cs="Times New Roman"/>
          <w:sz w:val="24"/>
          <w:szCs w:val="24"/>
        </w:rPr>
        <w:t xml:space="preserve"> Workers’ Party (PKK) / Turkey</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EB77B8" w:rsidRPr="00F62BA4" w:rsidRDefault="00EB77B8" w:rsidP="004B3AAD">
      <w:pPr>
        <w:rPr>
          <w:rFonts w:ascii="Times New Roman" w:hAnsi="Times New Roman" w:cs="Times New Roman"/>
          <w:sz w:val="24"/>
          <w:szCs w:val="24"/>
        </w:rPr>
      </w:pPr>
      <w:r w:rsidRPr="00F62BA4">
        <w:rPr>
          <w:rFonts w:ascii="Times New Roman" w:hAnsi="Times New Roman" w:cs="Times New Roman"/>
          <w:sz w:val="24"/>
          <w:szCs w:val="24"/>
        </w:rPr>
        <w:tab/>
        <w:t>The PKK fought a 15 year guerilla campaign against the Turkish state as the 20</w:t>
      </w:r>
      <w:r w:rsidRPr="00F62BA4">
        <w:rPr>
          <w:rFonts w:ascii="Times New Roman" w:hAnsi="Times New Roman" w:cs="Times New Roman"/>
          <w:sz w:val="24"/>
          <w:szCs w:val="24"/>
          <w:vertAlign w:val="superscript"/>
        </w:rPr>
        <w:t>th</w:t>
      </w:r>
      <w:r w:rsidRPr="00F62BA4">
        <w:rPr>
          <w:rFonts w:ascii="Times New Roman" w:hAnsi="Times New Roman" w:cs="Times New Roman"/>
          <w:sz w:val="24"/>
          <w:szCs w:val="24"/>
        </w:rPr>
        <w:t xml:space="preserve"> Century drew to a close. Their activities were aimed at securing secession, so they were focused on Turkey’s southeast, where Turkish Kurdistan borders with its Iraqi counterpart. These activities included attacking police and military targets, but Kurds who collaborated with the state were also targeted.</w:t>
      </w:r>
      <w:r w:rsidRPr="00F62BA4">
        <w:rPr>
          <w:rStyle w:val="FootnoteReference"/>
          <w:rFonts w:ascii="Times New Roman" w:hAnsi="Times New Roman" w:cs="Times New Roman"/>
          <w:sz w:val="24"/>
          <w:szCs w:val="24"/>
        </w:rPr>
        <w:footnoteReference w:id="458"/>
      </w:r>
      <w:r w:rsidR="004E6BD8" w:rsidRPr="00F62BA4">
        <w:rPr>
          <w:rFonts w:ascii="Times New Roman" w:hAnsi="Times New Roman" w:cs="Times New Roman"/>
          <w:sz w:val="24"/>
          <w:szCs w:val="24"/>
        </w:rPr>
        <w:t xml:space="preserve"> The PKK were able to make substantial gains, exerting some degree of control over several towns in the early 1990’s.</w:t>
      </w:r>
      <w:r w:rsidR="004E6BD8" w:rsidRPr="00F62BA4">
        <w:rPr>
          <w:rStyle w:val="FootnoteReference"/>
          <w:rFonts w:ascii="Times New Roman" w:hAnsi="Times New Roman" w:cs="Times New Roman"/>
          <w:sz w:val="24"/>
          <w:szCs w:val="24"/>
        </w:rPr>
        <w:footnoteReference w:id="459"/>
      </w:r>
      <w:r w:rsidR="002C30C5" w:rsidRPr="00F62BA4">
        <w:rPr>
          <w:rFonts w:ascii="Times New Roman" w:hAnsi="Times New Roman" w:cs="Times New Roman"/>
          <w:sz w:val="24"/>
          <w:szCs w:val="24"/>
        </w:rPr>
        <w:t xml:space="preserve"> PKK influence wilted in the face of sustained military resistance, though. By decade’s end, the insurgency was effectively ended.</w:t>
      </w:r>
    </w:p>
    <w:p w:rsidR="002C30C5" w:rsidRPr="00F62BA4" w:rsidRDefault="002C30C5" w:rsidP="004B3AAD">
      <w:pPr>
        <w:rPr>
          <w:rFonts w:ascii="Times New Roman" w:hAnsi="Times New Roman" w:cs="Times New Roman"/>
          <w:sz w:val="24"/>
          <w:szCs w:val="24"/>
        </w:rPr>
      </w:pPr>
      <w:r w:rsidRPr="00F62BA4">
        <w:rPr>
          <w:rFonts w:ascii="Times New Roman" w:hAnsi="Times New Roman" w:cs="Times New Roman"/>
          <w:sz w:val="24"/>
          <w:szCs w:val="24"/>
        </w:rPr>
        <w:tab/>
      </w:r>
      <w:r w:rsidR="00E93F0F" w:rsidRPr="00F62BA4">
        <w:rPr>
          <w:rFonts w:ascii="Times New Roman" w:hAnsi="Times New Roman" w:cs="Times New Roman"/>
          <w:sz w:val="24"/>
          <w:szCs w:val="24"/>
        </w:rPr>
        <w:t>While the PKK’s political efforts took shape in the early 20</w:t>
      </w:r>
      <w:r w:rsidR="00E93F0F" w:rsidRPr="00F62BA4">
        <w:rPr>
          <w:rFonts w:ascii="Times New Roman" w:hAnsi="Times New Roman" w:cs="Times New Roman"/>
          <w:sz w:val="24"/>
          <w:szCs w:val="24"/>
          <w:vertAlign w:val="superscript"/>
        </w:rPr>
        <w:t>th</w:t>
      </w:r>
      <w:r w:rsidR="00E93F0F" w:rsidRPr="00F62BA4">
        <w:rPr>
          <w:rFonts w:ascii="Times New Roman" w:hAnsi="Times New Roman" w:cs="Times New Roman"/>
          <w:sz w:val="24"/>
          <w:szCs w:val="24"/>
        </w:rPr>
        <w:t xml:space="preserve"> Century, it does not appear that the group engaged in much ruling during the conflict.</w:t>
      </w:r>
      <w:r w:rsidR="00E93F0F" w:rsidRPr="00F62BA4">
        <w:rPr>
          <w:rStyle w:val="FootnoteReference"/>
          <w:rFonts w:ascii="Times New Roman" w:hAnsi="Times New Roman" w:cs="Times New Roman"/>
          <w:sz w:val="24"/>
          <w:szCs w:val="24"/>
        </w:rPr>
        <w:footnoteReference w:id="460"/>
      </w:r>
      <w:r w:rsidR="00E93F0F" w:rsidRPr="00F62BA4">
        <w:rPr>
          <w:rFonts w:ascii="Times New Roman" w:hAnsi="Times New Roman" w:cs="Times New Roman"/>
          <w:sz w:val="24"/>
          <w:szCs w:val="24"/>
        </w:rPr>
        <w:t xml:space="preserve"> This appears to have come about for </w:t>
      </w:r>
      <w:r w:rsidR="004453FE" w:rsidRPr="00F62BA4">
        <w:rPr>
          <w:rFonts w:ascii="Times New Roman" w:hAnsi="Times New Roman" w:cs="Times New Roman"/>
          <w:sz w:val="24"/>
          <w:szCs w:val="24"/>
        </w:rPr>
        <w:t>one central reason;</w:t>
      </w:r>
      <w:r w:rsidR="00E93F0F" w:rsidRPr="00F62BA4">
        <w:rPr>
          <w:rFonts w:ascii="Times New Roman" w:hAnsi="Times New Roman" w:cs="Times New Roman"/>
          <w:sz w:val="24"/>
          <w:szCs w:val="24"/>
        </w:rPr>
        <w:t xml:space="preserve"> </w:t>
      </w:r>
      <w:r w:rsidR="004453FE" w:rsidRPr="00F62BA4">
        <w:rPr>
          <w:rFonts w:ascii="Times New Roman" w:hAnsi="Times New Roman" w:cs="Times New Roman"/>
          <w:sz w:val="24"/>
          <w:szCs w:val="24"/>
        </w:rPr>
        <w:t>t</w:t>
      </w:r>
      <w:r w:rsidR="00E93F0F" w:rsidRPr="00F62BA4">
        <w:rPr>
          <w:rFonts w:ascii="Times New Roman" w:hAnsi="Times New Roman" w:cs="Times New Roman"/>
          <w:sz w:val="24"/>
          <w:szCs w:val="24"/>
        </w:rPr>
        <w:t>he PKK’s “controlled territory” never resembled that of other rebel groups. Turkish forces possessed both superior capability and a mandate to use it with profound cruelty.</w:t>
      </w:r>
      <w:r w:rsidR="00E93F0F" w:rsidRPr="00F62BA4">
        <w:rPr>
          <w:rStyle w:val="FootnoteReference"/>
          <w:rFonts w:ascii="Times New Roman" w:hAnsi="Times New Roman" w:cs="Times New Roman"/>
          <w:sz w:val="24"/>
          <w:szCs w:val="24"/>
        </w:rPr>
        <w:footnoteReference w:id="461"/>
      </w:r>
      <w:r w:rsidR="004453FE" w:rsidRPr="00F62BA4">
        <w:rPr>
          <w:rFonts w:ascii="Times New Roman" w:hAnsi="Times New Roman" w:cs="Times New Roman"/>
          <w:sz w:val="24"/>
          <w:szCs w:val="24"/>
        </w:rPr>
        <w:t xml:space="preserve"> Once Turkish control of Southeastern villages came into question, they were evacuated, leaving the PKK with no one to rule. To make matters worse, Turkish forced employed scorched earth tactics in reconquered territories</w:t>
      </w:r>
      <w:r w:rsidR="002E6C34" w:rsidRPr="00F62BA4">
        <w:rPr>
          <w:rFonts w:ascii="Times New Roman" w:hAnsi="Times New Roman" w:cs="Times New Roman"/>
          <w:sz w:val="24"/>
          <w:szCs w:val="24"/>
        </w:rPr>
        <w:t>. This left the “conquering” PKK with nothing when they won and even less when they lost.</w:t>
      </w:r>
    </w:p>
    <w:p w:rsidR="00FB2B43" w:rsidRPr="00F62BA4" w:rsidRDefault="00FB2B43" w:rsidP="004B3AAD">
      <w:pPr>
        <w:rPr>
          <w:rFonts w:ascii="Times New Roman" w:hAnsi="Times New Roman" w:cs="Times New Roman"/>
          <w:b/>
          <w:sz w:val="24"/>
          <w:szCs w:val="24"/>
        </w:rPr>
      </w:pPr>
      <w:r w:rsidRPr="00F62BA4">
        <w:rPr>
          <w:rFonts w:ascii="Times New Roman" w:hAnsi="Times New Roman" w:cs="Times New Roman"/>
          <w:b/>
          <w:sz w:val="24"/>
          <w:szCs w:val="24"/>
        </w:rPr>
        <w:t>Uganda (1981-1986)</w:t>
      </w:r>
    </w:p>
    <w:p w:rsidR="00FB2B43" w:rsidRPr="00F62BA4" w:rsidRDefault="00FB2B43" w:rsidP="004B3AAD">
      <w:pPr>
        <w:rPr>
          <w:rFonts w:ascii="Times New Roman" w:hAnsi="Times New Roman" w:cs="Times New Roman"/>
          <w:sz w:val="24"/>
          <w:szCs w:val="24"/>
        </w:rPr>
      </w:pPr>
      <w:r w:rsidRPr="00F62BA4">
        <w:rPr>
          <w:rFonts w:ascii="Times New Roman" w:hAnsi="Times New Roman" w:cs="Times New Roman"/>
          <w:sz w:val="24"/>
          <w:szCs w:val="24"/>
        </w:rPr>
        <w:t>Rebels / Incumbents: National Resistance Movement/Army (NRM/A)</w:t>
      </w:r>
      <w:r w:rsidR="00295F9A" w:rsidRPr="00F62BA4">
        <w:rPr>
          <w:rFonts w:ascii="Times New Roman" w:hAnsi="Times New Roman" w:cs="Times New Roman"/>
          <w:sz w:val="24"/>
          <w:szCs w:val="24"/>
        </w:rPr>
        <w:t>, Uganda Freedom Movement (UFM), remnants of Idi Amin’s disbanded army</w:t>
      </w:r>
      <w:r w:rsidRPr="00F62BA4">
        <w:rPr>
          <w:rFonts w:ascii="Times New Roman" w:hAnsi="Times New Roman" w:cs="Times New Roman"/>
          <w:sz w:val="24"/>
          <w:szCs w:val="24"/>
        </w:rPr>
        <w:t xml:space="preserve"> / United National Liberation Front/Army (UNLF/A)</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2; Public Goods: 1;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2</w:t>
      </w:r>
    </w:p>
    <w:p w:rsidR="00FE1D43" w:rsidRPr="00F62BA4" w:rsidRDefault="00FE1D43" w:rsidP="004B3AAD">
      <w:pPr>
        <w:rPr>
          <w:rFonts w:ascii="Times New Roman" w:hAnsi="Times New Roman" w:cs="Times New Roman"/>
          <w:sz w:val="24"/>
          <w:szCs w:val="24"/>
        </w:rPr>
      </w:pPr>
      <w:r w:rsidRPr="00F62BA4">
        <w:rPr>
          <w:rFonts w:ascii="Times New Roman" w:hAnsi="Times New Roman" w:cs="Times New Roman"/>
          <w:sz w:val="24"/>
          <w:szCs w:val="24"/>
        </w:rPr>
        <w:tab/>
        <w:t>Milton Obote’s regime</w:t>
      </w:r>
      <w:r w:rsidR="006D225C" w:rsidRPr="00F62BA4">
        <w:rPr>
          <w:rFonts w:ascii="Times New Roman" w:hAnsi="Times New Roman" w:cs="Times New Roman"/>
          <w:sz w:val="24"/>
          <w:szCs w:val="24"/>
        </w:rPr>
        <w:t>, still catching its breath after the ouster of Idi Amin,</w:t>
      </w:r>
      <w:r w:rsidRPr="00F62BA4">
        <w:rPr>
          <w:rFonts w:ascii="Times New Roman" w:hAnsi="Times New Roman" w:cs="Times New Roman"/>
          <w:sz w:val="24"/>
          <w:szCs w:val="24"/>
        </w:rPr>
        <w:t xml:space="preserve"> faced an existential crisis in the first of Uganda’s civil wars in the d</w:t>
      </w:r>
      <w:r w:rsidR="006D225C" w:rsidRPr="00F62BA4">
        <w:rPr>
          <w:rFonts w:ascii="Times New Roman" w:hAnsi="Times New Roman" w:cs="Times New Roman"/>
          <w:sz w:val="24"/>
          <w:szCs w:val="24"/>
        </w:rPr>
        <w:t xml:space="preserve">ataset. The NRM, livid at the results of what they perceived to be a rigged election, began its war with </w:t>
      </w:r>
      <w:r w:rsidR="0078713D" w:rsidRPr="00F62BA4">
        <w:rPr>
          <w:rFonts w:ascii="Times New Roman" w:hAnsi="Times New Roman" w:cs="Times New Roman"/>
          <w:sz w:val="24"/>
          <w:szCs w:val="24"/>
        </w:rPr>
        <w:t>the UNLF’s Uganda in earnest.</w:t>
      </w:r>
      <w:r w:rsidR="0078713D" w:rsidRPr="00F62BA4">
        <w:rPr>
          <w:rStyle w:val="FootnoteReference"/>
          <w:rFonts w:ascii="Times New Roman" w:hAnsi="Times New Roman" w:cs="Times New Roman"/>
          <w:sz w:val="24"/>
          <w:szCs w:val="24"/>
        </w:rPr>
        <w:footnoteReference w:id="462"/>
      </w:r>
      <w:r w:rsidR="0078713D" w:rsidRPr="00F62BA4">
        <w:rPr>
          <w:rFonts w:ascii="Times New Roman" w:hAnsi="Times New Roman" w:cs="Times New Roman"/>
          <w:sz w:val="24"/>
          <w:szCs w:val="24"/>
        </w:rPr>
        <w:t xml:space="preserve"> </w:t>
      </w:r>
      <w:r w:rsidR="00295F9A" w:rsidRPr="00F62BA4">
        <w:rPr>
          <w:rFonts w:ascii="Times New Roman" w:hAnsi="Times New Roman" w:cs="Times New Roman"/>
          <w:sz w:val="24"/>
          <w:szCs w:val="24"/>
        </w:rPr>
        <w:t>In spite of some early successes, the NRA appeared to be on the ropes in the wake of a 1983 offensive, but had recovered by 1985. Yoweri Museveni was installed as Uganda’s president in January of the next year.</w:t>
      </w:r>
    </w:p>
    <w:p w:rsidR="00326DCE" w:rsidRPr="00F62BA4" w:rsidRDefault="00326DCE" w:rsidP="004B3AAD">
      <w:pPr>
        <w:rPr>
          <w:rFonts w:ascii="Times New Roman" w:hAnsi="Times New Roman" w:cs="Times New Roman"/>
          <w:sz w:val="24"/>
          <w:szCs w:val="24"/>
        </w:rPr>
      </w:pPr>
      <w:r w:rsidRPr="00F62BA4">
        <w:rPr>
          <w:rFonts w:ascii="Times New Roman" w:hAnsi="Times New Roman" w:cs="Times New Roman"/>
          <w:sz w:val="24"/>
          <w:szCs w:val="24"/>
        </w:rPr>
        <w:tab/>
      </w:r>
      <w:r w:rsidR="00295F9A" w:rsidRPr="00F62BA4">
        <w:rPr>
          <w:rFonts w:ascii="Times New Roman" w:hAnsi="Times New Roman" w:cs="Times New Roman"/>
          <w:sz w:val="24"/>
          <w:szCs w:val="24"/>
        </w:rPr>
        <w:t>Museveni’s (and the NRM’s) democratizing rhetoric</w:t>
      </w:r>
      <w:r w:rsidR="00295F9A" w:rsidRPr="00F62BA4">
        <w:rPr>
          <w:rStyle w:val="FootnoteReference"/>
          <w:rFonts w:ascii="Times New Roman" w:hAnsi="Times New Roman" w:cs="Times New Roman"/>
          <w:sz w:val="24"/>
          <w:szCs w:val="24"/>
        </w:rPr>
        <w:footnoteReference w:id="463"/>
      </w:r>
      <w:r w:rsidRPr="00F62BA4">
        <w:rPr>
          <w:rFonts w:ascii="Times New Roman" w:hAnsi="Times New Roman" w:cs="Times New Roman"/>
          <w:sz w:val="24"/>
          <w:szCs w:val="24"/>
        </w:rPr>
        <w:t xml:space="preserve"> bore fruit quickly, as </w:t>
      </w:r>
      <w:r w:rsidR="0078713D" w:rsidRPr="00F62BA4">
        <w:rPr>
          <w:rFonts w:ascii="Times New Roman" w:hAnsi="Times New Roman" w:cs="Times New Roman"/>
          <w:sz w:val="24"/>
          <w:szCs w:val="24"/>
        </w:rPr>
        <w:t>the ascendant party wasted no time installing democratic institutions and practices.</w:t>
      </w:r>
      <w:r w:rsidR="0078713D" w:rsidRPr="00F62BA4">
        <w:rPr>
          <w:rStyle w:val="FootnoteReference"/>
          <w:rFonts w:ascii="Times New Roman" w:hAnsi="Times New Roman" w:cs="Times New Roman"/>
          <w:sz w:val="24"/>
          <w:szCs w:val="24"/>
        </w:rPr>
        <w:footnoteReference w:id="464"/>
      </w:r>
      <w:r w:rsidR="00295F9A" w:rsidRPr="00F62BA4">
        <w:rPr>
          <w:rFonts w:ascii="Times New Roman" w:hAnsi="Times New Roman" w:cs="Times New Roman"/>
          <w:sz w:val="24"/>
          <w:szCs w:val="24"/>
        </w:rPr>
        <w:t xml:space="preserve"> However,</w:t>
      </w:r>
      <w:r w:rsidRPr="00F62BA4">
        <w:rPr>
          <w:rFonts w:ascii="Times New Roman" w:hAnsi="Times New Roman" w:cs="Times New Roman"/>
          <w:sz w:val="24"/>
          <w:szCs w:val="24"/>
        </w:rPr>
        <w:t xml:space="preserve"> the </w:t>
      </w:r>
      <w:r w:rsidRPr="00F62BA4">
        <w:rPr>
          <w:rFonts w:ascii="Times New Roman" w:hAnsi="Times New Roman" w:cs="Times New Roman"/>
          <w:sz w:val="24"/>
          <w:szCs w:val="24"/>
        </w:rPr>
        <w:lastRenderedPageBreak/>
        <w:t>NRM’s governance project began during the conflict itself.</w:t>
      </w:r>
      <w:r w:rsidR="00295F9A" w:rsidRPr="00F62BA4">
        <w:rPr>
          <w:rFonts w:ascii="Times New Roman" w:hAnsi="Times New Roman" w:cs="Times New Roman"/>
          <w:sz w:val="24"/>
          <w:szCs w:val="24"/>
        </w:rPr>
        <w:t xml:space="preserve"> </w:t>
      </w:r>
      <w:r w:rsidRPr="00F62BA4">
        <w:rPr>
          <w:rFonts w:ascii="Times New Roman" w:hAnsi="Times New Roman" w:cs="Times New Roman"/>
          <w:sz w:val="24"/>
          <w:szCs w:val="24"/>
        </w:rPr>
        <w:t>The group</w:t>
      </w:r>
      <w:r w:rsidR="000A5F34" w:rsidRPr="00F62BA4">
        <w:rPr>
          <w:rFonts w:ascii="Times New Roman" w:hAnsi="Times New Roman" w:cs="Times New Roman"/>
          <w:sz w:val="24"/>
          <w:szCs w:val="24"/>
        </w:rPr>
        <w:t xml:space="preserve"> establish</w:t>
      </w:r>
      <w:r w:rsidRPr="00F62BA4">
        <w:rPr>
          <w:rFonts w:ascii="Times New Roman" w:hAnsi="Times New Roman" w:cs="Times New Roman"/>
          <w:sz w:val="24"/>
          <w:szCs w:val="24"/>
        </w:rPr>
        <w:t>ed</w:t>
      </w:r>
      <w:r w:rsidR="000A5F34" w:rsidRPr="00F62BA4">
        <w:rPr>
          <w:rFonts w:ascii="Times New Roman" w:hAnsi="Times New Roman" w:cs="Times New Roman"/>
          <w:sz w:val="24"/>
          <w:szCs w:val="24"/>
        </w:rPr>
        <w:t xml:space="preserve"> Resistance Councils in towns and villages which the NRA controlled.</w:t>
      </w:r>
      <w:r w:rsidR="00414B38" w:rsidRPr="00F62BA4">
        <w:rPr>
          <w:rStyle w:val="FootnoteReference"/>
          <w:rFonts w:ascii="Times New Roman" w:hAnsi="Times New Roman" w:cs="Times New Roman"/>
          <w:sz w:val="24"/>
          <w:szCs w:val="24"/>
        </w:rPr>
        <w:footnoteReference w:id="465"/>
      </w:r>
      <w:r w:rsidR="000A5F34" w:rsidRPr="00F62BA4">
        <w:rPr>
          <w:rFonts w:ascii="Times New Roman" w:hAnsi="Times New Roman" w:cs="Times New Roman"/>
          <w:sz w:val="24"/>
          <w:szCs w:val="24"/>
        </w:rPr>
        <w:t xml:space="preserve"> These councils were populated by members of the localities themselves elected by that same locality, mirroring the</w:t>
      </w:r>
      <w:r w:rsidR="00414B38" w:rsidRPr="00F62BA4">
        <w:rPr>
          <w:rFonts w:ascii="Times New Roman" w:hAnsi="Times New Roman" w:cs="Times New Roman"/>
          <w:sz w:val="24"/>
          <w:szCs w:val="24"/>
        </w:rPr>
        <w:t xml:space="preserve"> effective</w:t>
      </w:r>
      <w:r w:rsidR="000A5F34" w:rsidRPr="00F62BA4">
        <w:rPr>
          <w:rFonts w:ascii="Times New Roman" w:hAnsi="Times New Roman" w:cs="Times New Roman"/>
          <w:sz w:val="24"/>
          <w:szCs w:val="24"/>
        </w:rPr>
        <w:t xml:space="preserve"> micro-level democratization seen in several other cases.</w:t>
      </w:r>
      <w:r w:rsidR="00414B38" w:rsidRPr="00F62BA4">
        <w:rPr>
          <w:rStyle w:val="FootnoteReference"/>
          <w:rFonts w:ascii="Times New Roman" w:hAnsi="Times New Roman" w:cs="Times New Roman"/>
          <w:sz w:val="24"/>
          <w:szCs w:val="24"/>
        </w:rPr>
        <w:t xml:space="preserve"> </w:t>
      </w:r>
      <w:r w:rsidR="00414B38" w:rsidRPr="00F62BA4">
        <w:rPr>
          <w:rStyle w:val="FootnoteReference"/>
          <w:rFonts w:ascii="Times New Roman" w:hAnsi="Times New Roman" w:cs="Times New Roman"/>
          <w:sz w:val="24"/>
          <w:szCs w:val="24"/>
        </w:rPr>
        <w:footnoteReference w:id="466"/>
      </w:r>
      <w:r w:rsidRPr="00F62BA4">
        <w:rPr>
          <w:rFonts w:ascii="Times New Roman" w:hAnsi="Times New Roman" w:cs="Times New Roman"/>
          <w:sz w:val="24"/>
          <w:szCs w:val="24"/>
        </w:rPr>
        <w:t xml:space="preserve"> The RC’s function went beyond representation, though. In addition to mobilizing support and providing the NRM with information pertinent to the war effort, they also began to be deployed in the service of law and order beginning in 1982.</w:t>
      </w:r>
      <w:r w:rsidRPr="00F62BA4">
        <w:rPr>
          <w:rStyle w:val="FootnoteReference"/>
          <w:rFonts w:ascii="Times New Roman" w:hAnsi="Times New Roman" w:cs="Times New Roman"/>
          <w:sz w:val="24"/>
          <w:szCs w:val="24"/>
        </w:rPr>
        <w:footnoteReference w:id="467"/>
      </w:r>
      <w:r w:rsidRPr="00F62BA4">
        <w:rPr>
          <w:rFonts w:ascii="Times New Roman" w:hAnsi="Times New Roman" w:cs="Times New Roman"/>
          <w:sz w:val="24"/>
          <w:szCs w:val="24"/>
        </w:rPr>
        <w:t xml:space="preserve"> Their effectiveness can be seen in their mandate—the NRA used the RC’s to enforce a strict code of conduct for its rank-and-file soldiers.</w:t>
      </w:r>
    </w:p>
    <w:p w:rsidR="00457A5D" w:rsidRPr="00F62BA4" w:rsidRDefault="00457A5D" w:rsidP="004B3AAD">
      <w:pPr>
        <w:rPr>
          <w:rFonts w:ascii="Times New Roman" w:hAnsi="Times New Roman" w:cs="Times New Roman"/>
          <w:sz w:val="24"/>
          <w:szCs w:val="24"/>
        </w:rPr>
      </w:pPr>
      <w:r w:rsidRPr="00F62BA4">
        <w:rPr>
          <w:rFonts w:ascii="Times New Roman" w:hAnsi="Times New Roman" w:cs="Times New Roman"/>
          <w:sz w:val="24"/>
          <w:szCs w:val="24"/>
        </w:rPr>
        <w:tab/>
        <w:t>Wartime public good provision is another matter entirely. Although the Museveni regime has undertaken ambitious projects in health</w:t>
      </w:r>
      <w:r w:rsidRPr="00F62BA4">
        <w:rPr>
          <w:rStyle w:val="FootnoteReference"/>
          <w:rFonts w:ascii="Times New Roman" w:hAnsi="Times New Roman" w:cs="Times New Roman"/>
          <w:sz w:val="24"/>
          <w:szCs w:val="24"/>
        </w:rPr>
        <w:footnoteReference w:id="468"/>
      </w:r>
      <w:r w:rsidRPr="00F62BA4">
        <w:rPr>
          <w:rFonts w:ascii="Times New Roman" w:hAnsi="Times New Roman" w:cs="Times New Roman"/>
          <w:sz w:val="24"/>
          <w:szCs w:val="24"/>
        </w:rPr>
        <w:t xml:space="preserve"> and education provision</w:t>
      </w:r>
      <w:r w:rsidRPr="00F62BA4">
        <w:rPr>
          <w:rStyle w:val="FootnoteReference"/>
          <w:rFonts w:ascii="Times New Roman" w:hAnsi="Times New Roman" w:cs="Times New Roman"/>
          <w:sz w:val="24"/>
          <w:szCs w:val="24"/>
        </w:rPr>
        <w:footnoteReference w:id="469"/>
      </w:r>
      <w:r w:rsidRPr="00F62BA4">
        <w:rPr>
          <w:rFonts w:ascii="Times New Roman" w:hAnsi="Times New Roman" w:cs="Times New Roman"/>
          <w:sz w:val="24"/>
          <w:szCs w:val="24"/>
        </w:rPr>
        <w:t xml:space="preserve"> since the war’s conclusion, the state of both was desultory when he took office.</w:t>
      </w:r>
      <w:r w:rsidRPr="00F62BA4">
        <w:rPr>
          <w:rStyle w:val="FootnoteReference"/>
          <w:rFonts w:ascii="Times New Roman" w:hAnsi="Times New Roman" w:cs="Times New Roman"/>
          <w:sz w:val="24"/>
          <w:szCs w:val="24"/>
        </w:rPr>
        <w:footnoteReference w:id="470"/>
      </w:r>
      <w:r w:rsidR="00766B67" w:rsidRPr="00F62BA4">
        <w:rPr>
          <w:rFonts w:ascii="Times New Roman" w:hAnsi="Times New Roman" w:cs="Times New Roman"/>
          <w:sz w:val="24"/>
          <w:szCs w:val="24"/>
        </w:rPr>
        <w:t xml:space="preserve"> One of the few exceptions were independent women’s organizations, who organized local schools and clinics (among many other functions) where they were able.</w:t>
      </w:r>
      <w:r w:rsidR="00766B67" w:rsidRPr="00F62BA4">
        <w:rPr>
          <w:rStyle w:val="FootnoteReference"/>
          <w:rFonts w:ascii="Times New Roman" w:hAnsi="Times New Roman" w:cs="Times New Roman"/>
          <w:sz w:val="24"/>
          <w:szCs w:val="24"/>
        </w:rPr>
        <w:footnoteReference w:id="471"/>
      </w:r>
      <w:r w:rsidR="00766B67" w:rsidRPr="00F62BA4">
        <w:rPr>
          <w:rFonts w:ascii="Times New Roman" w:hAnsi="Times New Roman" w:cs="Times New Roman"/>
          <w:sz w:val="24"/>
          <w:szCs w:val="24"/>
        </w:rPr>
        <w:t xml:space="preserve"> The women in these organizations fiercely defended their independence and struggled (ultimately unsuccessfully) to maintain their autonomy after the war had come to a close. As such, even though Museveni courted their support as he was consolidating his presidency, these organizations had no formal relationship with the NRM.</w:t>
      </w:r>
      <w:r w:rsidR="00C840FF" w:rsidRPr="00F62BA4">
        <w:rPr>
          <w:rFonts w:ascii="Times New Roman" w:hAnsi="Times New Roman" w:cs="Times New Roman"/>
          <w:sz w:val="24"/>
          <w:szCs w:val="24"/>
        </w:rPr>
        <w:t xml:space="preserve"> </w:t>
      </w:r>
    </w:p>
    <w:p w:rsidR="00C840FF" w:rsidRPr="00F62BA4" w:rsidRDefault="00C840FF" w:rsidP="004B3AAD">
      <w:pPr>
        <w:rPr>
          <w:rFonts w:ascii="Times New Roman" w:hAnsi="Times New Roman" w:cs="Times New Roman"/>
          <w:sz w:val="24"/>
          <w:szCs w:val="24"/>
        </w:rPr>
      </w:pPr>
      <w:r w:rsidRPr="00F62BA4">
        <w:rPr>
          <w:rFonts w:ascii="Times New Roman" w:hAnsi="Times New Roman" w:cs="Times New Roman"/>
          <w:sz w:val="24"/>
          <w:szCs w:val="24"/>
        </w:rPr>
        <w:tab/>
        <w:t>There is evidence of some efforts taken to remedy this during wartime, though.</w:t>
      </w:r>
      <w:r w:rsidRPr="00F62BA4">
        <w:rPr>
          <w:rStyle w:val="FootnoteReference"/>
          <w:rFonts w:ascii="Times New Roman" w:hAnsi="Times New Roman" w:cs="Times New Roman"/>
          <w:sz w:val="24"/>
          <w:szCs w:val="24"/>
        </w:rPr>
        <w:footnoteReference w:id="472"/>
      </w:r>
      <w:r w:rsidRPr="00F62BA4">
        <w:rPr>
          <w:rFonts w:ascii="Times New Roman" w:hAnsi="Times New Roman" w:cs="Times New Roman"/>
          <w:sz w:val="24"/>
          <w:szCs w:val="24"/>
        </w:rPr>
        <w:t xml:space="preserve"> For instance, while generalized healthcare </w:t>
      </w:r>
      <w:r w:rsidR="003A6E41">
        <w:rPr>
          <w:rFonts w:ascii="Times New Roman" w:hAnsi="Times New Roman" w:cs="Times New Roman"/>
          <w:sz w:val="24"/>
          <w:szCs w:val="24"/>
        </w:rPr>
        <w:t>efforts were at best qualified successes due to insecurity</w:t>
      </w:r>
      <w:r w:rsidRPr="00F62BA4">
        <w:rPr>
          <w:rFonts w:ascii="Times New Roman" w:hAnsi="Times New Roman" w:cs="Times New Roman"/>
          <w:sz w:val="24"/>
          <w:szCs w:val="24"/>
        </w:rPr>
        <w:t>, the NRA was able to tackle</w:t>
      </w:r>
      <w:r w:rsidR="007B56C5">
        <w:rPr>
          <w:rFonts w:ascii="Times New Roman" w:hAnsi="Times New Roman" w:cs="Times New Roman"/>
          <w:sz w:val="24"/>
          <w:szCs w:val="24"/>
        </w:rPr>
        <w:t xml:space="preserve"> some</w:t>
      </w:r>
      <w:r w:rsidRPr="00F62BA4">
        <w:rPr>
          <w:rFonts w:ascii="Times New Roman" w:hAnsi="Times New Roman" w:cs="Times New Roman"/>
          <w:sz w:val="24"/>
          <w:szCs w:val="24"/>
        </w:rPr>
        <w:t xml:space="preserve"> particular health problems, such as the spread of malaria by way of NRA-organized clinics. Similarly, the NRA attempted to provide educational services, although their success was similarly limited due to insecurity.</w:t>
      </w:r>
    </w:p>
    <w:p w:rsidR="00FB2B43" w:rsidRPr="00F62BA4" w:rsidRDefault="00FB2B43" w:rsidP="004B3AAD">
      <w:pPr>
        <w:rPr>
          <w:rFonts w:ascii="Times New Roman" w:hAnsi="Times New Roman" w:cs="Times New Roman"/>
          <w:b/>
          <w:sz w:val="24"/>
          <w:szCs w:val="24"/>
        </w:rPr>
      </w:pPr>
      <w:r w:rsidRPr="00F62BA4">
        <w:rPr>
          <w:rFonts w:ascii="Times New Roman" w:hAnsi="Times New Roman" w:cs="Times New Roman"/>
          <w:b/>
          <w:sz w:val="24"/>
          <w:szCs w:val="24"/>
        </w:rPr>
        <w:t>Uganda (1986-2006)</w:t>
      </w:r>
    </w:p>
    <w:p w:rsidR="00FB2B43" w:rsidRPr="00F62BA4" w:rsidRDefault="00FB2B43" w:rsidP="004B3AAD">
      <w:pPr>
        <w:rPr>
          <w:rFonts w:ascii="Times New Roman" w:hAnsi="Times New Roman" w:cs="Times New Roman"/>
          <w:sz w:val="24"/>
          <w:szCs w:val="24"/>
        </w:rPr>
      </w:pPr>
      <w:r w:rsidRPr="00F62BA4">
        <w:rPr>
          <w:rFonts w:ascii="Times New Roman" w:hAnsi="Times New Roman" w:cs="Times New Roman"/>
          <w:sz w:val="24"/>
          <w:szCs w:val="24"/>
        </w:rPr>
        <w:t>Rebels / Incumbents:</w:t>
      </w:r>
      <w:r w:rsidR="00FF63A8" w:rsidRPr="00F62BA4">
        <w:rPr>
          <w:rFonts w:ascii="Times New Roman" w:hAnsi="Times New Roman" w:cs="Times New Roman"/>
          <w:sz w:val="24"/>
          <w:szCs w:val="24"/>
        </w:rPr>
        <w:t xml:space="preserve"> Lord’s Resistance Army (LRA)</w:t>
      </w:r>
      <w:r w:rsidR="00FE29DD" w:rsidRPr="00F62BA4">
        <w:rPr>
          <w:rFonts w:ascii="Times New Roman" w:hAnsi="Times New Roman" w:cs="Times New Roman"/>
          <w:sz w:val="24"/>
          <w:szCs w:val="24"/>
        </w:rPr>
        <w:t>, Uganda People’s Democratic Army</w:t>
      </w:r>
      <w:r w:rsidR="007B6EAD" w:rsidRPr="00F62BA4">
        <w:rPr>
          <w:rFonts w:ascii="Times New Roman" w:hAnsi="Times New Roman" w:cs="Times New Roman"/>
          <w:sz w:val="24"/>
          <w:szCs w:val="24"/>
        </w:rPr>
        <w:t xml:space="preserve"> (until 1989)</w:t>
      </w:r>
      <w:r w:rsidR="00FE29DD" w:rsidRPr="00F62BA4">
        <w:rPr>
          <w:rFonts w:ascii="Times New Roman" w:hAnsi="Times New Roman" w:cs="Times New Roman"/>
          <w:sz w:val="24"/>
          <w:szCs w:val="24"/>
        </w:rPr>
        <w:t>, Holy Spirit Movement</w:t>
      </w:r>
      <w:r w:rsidR="007B6EAD" w:rsidRPr="00F62BA4">
        <w:rPr>
          <w:rFonts w:ascii="Times New Roman" w:hAnsi="Times New Roman" w:cs="Times New Roman"/>
          <w:sz w:val="24"/>
          <w:szCs w:val="24"/>
        </w:rPr>
        <w:t xml:space="preserve"> (until 1987)</w:t>
      </w:r>
      <w:r w:rsidR="00FF63A8" w:rsidRPr="00F62BA4">
        <w:rPr>
          <w:rFonts w:ascii="Times New Roman" w:hAnsi="Times New Roman" w:cs="Times New Roman"/>
          <w:sz w:val="24"/>
          <w:szCs w:val="24"/>
        </w:rPr>
        <w:t xml:space="preserve"> / NRM</w:t>
      </w:r>
    </w:p>
    <w:p w:rsidR="00D9746E" w:rsidRDefault="005B1032" w:rsidP="004B3AAD">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FF63A8" w:rsidRPr="00F62BA4" w:rsidRDefault="00FF63A8" w:rsidP="004B3AAD">
      <w:pPr>
        <w:rPr>
          <w:rFonts w:ascii="Times New Roman" w:hAnsi="Times New Roman" w:cs="Times New Roman"/>
          <w:sz w:val="24"/>
          <w:szCs w:val="24"/>
        </w:rPr>
      </w:pPr>
      <w:r w:rsidRPr="00F62BA4">
        <w:rPr>
          <w:rFonts w:ascii="Times New Roman" w:hAnsi="Times New Roman" w:cs="Times New Roman"/>
          <w:sz w:val="24"/>
          <w:szCs w:val="24"/>
        </w:rPr>
        <w:tab/>
        <w:t>Shortly after Obote’s ouster, the remnants of his defeated army began an insurgency under the guidance of Joseph Kony, terrorizing northern Uganda for two decades.</w:t>
      </w:r>
      <w:r w:rsidRPr="00F62BA4">
        <w:rPr>
          <w:rStyle w:val="FootnoteReference"/>
          <w:rFonts w:ascii="Times New Roman" w:hAnsi="Times New Roman" w:cs="Times New Roman"/>
          <w:sz w:val="24"/>
          <w:szCs w:val="24"/>
        </w:rPr>
        <w:footnoteReference w:id="473"/>
      </w:r>
      <w:r w:rsidR="001E0B18" w:rsidRPr="00F62BA4">
        <w:rPr>
          <w:rFonts w:ascii="Times New Roman" w:hAnsi="Times New Roman" w:cs="Times New Roman"/>
          <w:sz w:val="24"/>
          <w:szCs w:val="24"/>
        </w:rPr>
        <w:t xml:space="preserve"> In spite of </w:t>
      </w:r>
      <w:r w:rsidR="001E0B18" w:rsidRPr="00F62BA4">
        <w:rPr>
          <w:rFonts w:ascii="Times New Roman" w:hAnsi="Times New Roman" w:cs="Times New Roman"/>
          <w:sz w:val="24"/>
          <w:szCs w:val="24"/>
        </w:rPr>
        <w:lastRenderedPageBreak/>
        <w:t>its resiliency, the conflict is known more for its profound violence and Kony’s bizarre tendencies than any rebel governance project.</w:t>
      </w:r>
      <w:r w:rsidR="001E0B18" w:rsidRPr="00F62BA4">
        <w:rPr>
          <w:rStyle w:val="FootnoteReference"/>
          <w:rFonts w:ascii="Times New Roman" w:hAnsi="Times New Roman" w:cs="Times New Roman"/>
          <w:sz w:val="24"/>
          <w:szCs w:val="24"/>
        </w:rPr>
        <w:footnoteReference w:id="474"/>
      </w:r>
      <w:r w:rsidR="001E0B18" w:rsidRPr="00F62BA4">
        <w:rPr>
          <w:rFonts w:ascii="Times New Roman" w:hAnsi="Times New Roman" w:cs="Times New Roman"/>
          <w:sz w:val="24"/>
          <w:szCs w:val="24"/>
        </w:rPr>
        <w:t xml:space="preserve"> Kony’s notorious use of child soldiers is well-reported, but the horrors visited upon Ugandans (and others—the army operated in neighboring countries as well) are staggering even when weighed against many of the cases described herein. Between Kony’s sadism and his unpredictable behavior, it is perhaps unsurprising that they did not participate in any sort of governance project.</w:t>
      </w:r>
    </w:p>
    <w:p w:rsidR="00FB2B43" w:rsidRPr="00D9746E" w:rsidRDefault="0046267C" w:rsidP="00FB2B43">
      <w:pPr>
        <w:rPr>
          <w:rFonts w:ascii="Times New Roman" w:hAnsi="Times New Roman" w:cs="Times New Roman"/>
          <w:sz w:val="24"/>
          <w:szCs w:val="24"/>
        </w:rPr>
      </w:pPr>
      <w:r w:rsidRPr="00F62BA4">
        <w:rPr>
          <w:rFonts w:ascii="Times New Roman" w:hAnsi="Times New Roman" w:cs="Times New Roman"/>
          <w:sz w:val="24"/>
          <w:szCs w:val="24"/>
        </w:rPr>
        <w:tab/>
      </w:r>
      <w:r w:rsidR="004E1575" w:rsidRPr="00F62BA4">
        <w:rPr>
          <w:rFonts w:ascii="Times New Roman" w:hAnsi="Times New Roman" w:cs="Times New Roman"/>
          <w:sz w:val="24"/>
          <w:szCs w:val="24"/>
        </w:rPr>
        <w:t>Nominally, there was a Lord’s Resistance Movement (LRM), but the connection between it and the LRA was unclear. It is unclear, for example, whether attempts to negotiate with this LRM, had they been successful, could have led to a cessation of violence as it was unclear that the ostensible political wing had any effect on the LRA or (most importantly) Kony.</w:t>
      </w:r>
      <w:r w:rsidR="004E1575" w:rsidRPr="00F62BA4">
        <w:rPr>
          <w:rStyle w:val="FootnoteReference"/>
          <w:rFonts w:ascii="Times New Roman" w:hAnsi="Times New Roman" w:cs="Times New Roman"/>
          <w:sz w:val="24"/>
          <w:szCs w:val="24"/>
        </w:rPr>
        <w:footnoteReference w:id="475"/>
      </w:r>
      <w:r w:rsidR="004E1575" w:rsidRPr="00F62BA4">
        <w:rPr>
          <w:rFonts w:ascii="Times New Roman" w:hAnsi="Times New Roman" w:cs="Times New Roman"/>
          <w:sz w:val="24"/>
          <w:szCs w:val="24"/>
        </w:rPr>
        <w:t xml:space="preserve"> Towards the end of the conflict, Kony began to articulate a more coherent political vision, arguing that his was a fight for Ugandan democracy.</w:t>
      </w:r>
      <w:r w:rsidR="004E1575" w:rsidRPr="00F62BA4">
        <w:rPr>
          <w:rStyle w:val="FootnoteReference"/>
          <w:rFonts w:ascii="Times New Roman" w:hAnsi="Times New Roman" w:cs="Times New Roman"/>
          <w:sz w:val="24"/>
          <w:szCs w:val="24"/>
        </w:rPr>
        <w:footnoteReference w:id="476"/>
      </w:r>
      <w:r w:rsidR="004E1575" w:rsidRPr="00F62BA4">
        <w:rPr>
          <w:rFonts w:ascii="Times New Roman" w:hAnsi="Times New Roman" w:cs="Times New Roman"/>
          <w:sz w:val="24"/>
          <w:szCs w:val="24"/>
        </w:rPr>
        <w:t xml:space="preserve"> Additionally, he paused operations in 1996, claiming that it was important to give Ugandans a chance to vote against Museveni. However, it was clear that if there was a broader political project, it was unknown to the rank-and-file soldiers</w:t>
      </w:r>
      <w:r w:rsidR="00950FAD" w:rsidRPr="00F62BA4">
        <w:rPr>
          <w:rFonts w:ascii="Times New Roman" w:hAnsi="Times New Roman" w:cs="Times New Roman"/>
          <w:sz w:val="24"/>
          <w:szCs w:val="24"/>
        </w:rPr>
        <w:t>. Many scholars have put themselves into a similar camp,</w:t>
      </w:r>
      <w:r w:rsidR="00950FAD" w:rsidRPr="00F62BA4">
        <w:rPr>
          <w:rStyle w:val="FootnoteReference"/>
          <w:rFonts w:ascii="Times New Roman" w:hAnsi="Times New Roman" w:cs="Times New Roman"/>
          <w:sz w:val="24"/>
          <w:szCs w:val="24"/>
        </w:rPr>
        <w:footnoteReference w:id="477"/>
      </w:r>
      <w:r w:rsidR="00950FAD" w:rsidRPr="00F62BA4">
        <w:rPr>
          <w:rFonts w:ascii="Times New Roman" w:hAnsi="Times New Roman" w:cs="Times New Roman"/>
          <w:sz w:val="24"/>
          <w:szCs w:val="24"/>
        </w:rPr>
        <w:t xml:space="preserve"> arguing that if there was a political agenda, it was based on the whims of the LRA’s leader, not on a coherent idea.</w:t>
      </w:r>
      <w:r w:rsidR="00950FAD" w:rsidRPr="00F62BA4">
        <w:rPr>
          <w:rStyle w:val="FootnoteReference"/>
          <w:rFonts w:ascii="Times New Roman" w:hAnsi="Times New Roman" w:cs="Times New Roman"/>
          <w:sz w:val="24"/>
          <w:szCs w:val="24"/>
        </w:rPr>
        <w:footnoteReference w:id="478"/>
      </w:r>
      <w:r w:rsidR="003E0DCA" w:rsidRPr="00F62BA4">
        <w:rPr>
          <w:rFonts w:ascii="Times New Roman" w:hAnsi="Times New Roman" w:cs="Times New Roman"/>
          <w:sz w:val="24"/>
          <w:szCs w:val="24"/>
        </w:rPr>
        <w:t xml:space="preserve"> </w:t>
      </w:r>
    </w:p>
    <w:p w:rsidR="006D0328" w:rsidRPr="00F62BA4" w:rsidRDefault="004A18D9">
      <w:pPr>
        <w:rPr>
          <w:rFonts w:ascii="Times New Roman" w:hAnsi="Times New Roman" w:cs="Times New Roman"/>
          <w:b/>
          <w:sz w:val="24"/>
          <w:szCs w:val="24"/>
        </w:rPr>
      </w:pPr>
      <w:r w:rsidRPr="00F62BA4">
        <w:rPr>
          <w:rFonts w:ascii="Times New Roman" w:hAnsi="Times New Roman" w:cs="Times New Roman"/>
          <w:b/>
          <w:sz w:val="24"/>
          <w:szCs w:val="24"/>
        </w:rPr>
        <w:t>Yemen (North) (1994)</w:t>
      </w:r>
    </w:p>
    <w:p w:rsidR="004A18D9" w:rsidRPr="00F62BA4" w:rsidRDefault="004A18D9">
      <w:pPr>
        <w:rPr>
          <w:rFonts w:ascii="Times New Roman" w:hAnsi="Times New Roman" w:cs="Times New Roman"/>
          <w:sz w:val="24"/>
          <w:szCs w:val="24"/>
        </w:rPr>
      </w:pPr>
      <w:r w:rsidRPr="00F62BA4">
        <w:rPr>
          <w:rFonts w:ascii="Times New Roman" w:hAnsi="Times New Roman" w:cs="Times New Roman"/>
          <w:sz w:val="24"/>
          <w:szCs w:val="24"/>
        </w:rPr>
        <w:t>Rebels / Incumbents:</w:t>
      </w:r>
      <w:r w:rsidR="00832653" w:rsidRPr="00F62BA4">
        <w:rPr>
          <w:rFonts w:ascii="Times New Roman" w:hAnsi="Times New Roman" w:cs="Times New Roman"/>
          <w:sz w:val="24"/>
          <w:szCs w:val="24"/>
        </w:rPr>
        <w:t xml:space="preserve"> Democratic Republic of Yemen (Southern Separatists)</w:t>
      </w:r>
      <w:r w:rsidRPr="00F62BA4">
        <w:rPr>
          <w:rFonts w:ascii="Times New Roman" w:hAnsi="Times New Roman" w:cs="Times New Roman"/>
          <w:sz w:val="24"/>
          <w:szCs w:val="24"/>
        </w:rPr>
        <w:t xml:space="preserve"> </w:t>
      </w:r>
      <w:r w:rsidR="00832653" w:rsidRPr="00F62BA4">
        <w:rPr>
          <w:rFonts w:ascii="Times New Roman" w:hAnsi="Times New Roman" w:cs="Times New Roman"/>
          <w:sz w:val="24"/>
          <w:szCs w:val="24"/>
        </w:rPr>
        <w:t>/ Republic of Yemen</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832653" w:rsidRPr="00F62BA4" w:rsidRDefault="00832653">
      <w:pPr>
        <w:rPr>
          <w:rFonts w:ascii="Times New Roman" w:hAnsi="Times New Roman" w:cs="Times New Roman"/>
          <w:sz w:val="24"/>
          <w:szCs w:val="24"/>
        </w:rPr>
      </w:pPr>
      <w:r w:rsidRPr="00F62BA4">
        <w:rPr>
          <w:rFonts w:ascii="Times New Roman" w:hAnsi="Times New Roman" w:cs="Times New Roman"/>
          <w:sz w:val="24"/>
          <w:szCs w:val="24"/>
        </w:rPr>
        <w:tab/>
        <w:t>The Yemen Arab Republic (YAR) and People’s Democratic Republic of Yemen had unified in May of 1990, but unification was problematic for a number of reasons. First, North Yemen (YAR) was substantially more prosperous, not to mention “sturdier.”</w:t>
      </w:r>
      <w:r w:rsidRPr="00F62BA4">
        <w:rPr>
          <w:rStyle w:val="FootnoteReference"/>
          <w:rFonts w:ascii="Times New Roman" w:hAnsi="Times New Roman" w:cs="Times New Roman"/>
          <w:sz w:val="24"/>
          <w:szCs w:val="24"/>
        </w:rPr>
        <w:footnoteReference w:id="479"/>
      </w:r>
      <w:r w:rsidRPr="00F62BA4">
        <w:rPr>
          <w:rFonts w:ascii="Times New Roman" w:hAnsi="Times New Roman" w:cs="Times New Roman"/>
          <w:sz w:val="24"/>
          <w:szCs w:val="24"/>
        </w:rPr>
        <w:t xml:space="preserve"> </w:t>
      </w:r>
      <w:r w:rsidR="00FC7303" w:rsidRPr="00F62BA4">
        <w:rPr>
          <w:rFonts w:ascii="Times New Roman" w:hAnsi="Times New Roman" w:cs="Times New Roman"/>
          <w:sz w:val="24"/>
          <w:szCs w:val="24"/>
        </w:rPr>
        <w:t>Secondly</w:t>
      </w:r>
      <w:r w:rsidRPr="00F62BA4">
        <w:rPr>
          <w:rFonts w:ascii="Times New Roman" w:hAnsi="Times New Roman" w:cs="Times New Roman"/>
          <w:sz w:val="24"/>
          <w:szCs w:val="24"/>
        </w:rPr>
        <w:t xml:space="preserve">, </w:t>
      </w:r>
      <w:r w:rsidR="00FC7303" w:rsidRPr="00F62BA4">
        <w:rPr>
          <w:rFonts w:ascii="Times New Roman" w:hAnsi="Times New Roman" w:cs="Times New Roman"/>
          <w:sz w:val="24"/>
          <w:szCs w:val="24"/>
        </w:rPr>
        <w:t>continuing lack of development and disappointing electoral outcomes of Southern Yemen candidates left the region’s population with a simmering resentment. Thirdly, the armed forces remained largely unintegrated, save for moving some Northern brigades south and some Southern brigades north. This led to periodic skirmishes between the groups, ultimately escalating to a civil war in early 1994.</w:t>
      </w:r>
    </w:p>
    <w:p w:rsidR="00B20D46" w:rsidRPr="00F62BA4" w:rsidRDefault="00FC7303">
      <w:pPr>
        <w:rPr>
          <w:rFonts w:ascii="Times New Roman" w:hAnsi="Times New Roman" w:cs="Times New Roman"/>
          <w:sz w:val="24"/>
          <w:szCs w:val="24"/>
        </w:rPr>
      </w:pPr>
      <w:r w:rsidRPr="00F62BA4">
        <w:rPr>
          <w:rFonts w:ascii="Times New Roman" w:hAnsi="Times New Roman" w:cs="Times New Roman"/>
          <w:sz w:val="24"/>
          <w:szCs w:val="24"/>
        </w:rPr>
        <w:tab/>
        <w:t>Ali Salem al-Bidh, the de facto leader of South Yemen’s old guard, was vice-president to northerner Ali Abdullah Saleh, but this did not stop the former from rebelling against the latter. The secessionists were defeated in short order, with Southern Yemen only independent from May to July.</w:t>
      </w:r>
      <w:r w:rsidRPr="00F62BA4">
        <w:rPr>
          <w:rStyle w:val="FootnoteReference"/>
          <w:rFonts w:ascii="Times New Roman" w:hAnsi="Times New Roman" w:cs="Times New Roman"/>
          <w:sz w:val="24"/>
          <w:szCs w:val="24"/>
        </w:rPr>
        <w:footnoteReference w:id="480"/>
      </w:r>
      <w:r w:rsidR="00B20D46" w:rsidRPr="00F62BA4">
        <w:rPr>
          <w:rFonts w:ascii="Times New Roman" w:hAnsi="Times New Roman" w:cs="Times New Roman"/>
          <w:sz w:val="24"/>
          <w:szCs w:val="24"/>
        </w:rPr>
        <w:t xml:space="preserve"> Because of the war’s brevity and the lack of consensus support for independence, </w:t>
      </w:r>
      <w:r w:rsidR="00B20D46" w:rsidRPr="00F62BA4">
        <w:rPr>
          <w:rFonts w:ascii="Times New Roman" w:hAnsi="Times New Roman" w:cs="Times New Roman"/>
          <w:sz w:val="24"/>
          <w:szCs w:val="24"/>
        </w:rPr>
        <w:lastRenderedPageBreak/>
        <w:t>even among Southerners, there was little opportunity for al-Bidh to establish governance during the conflict.</w:t>
      </w:r>
      <w:r w:rsidR="0056077B" w:rsidRPr="00F62BA4">
        <w:rPr>
          <w:rFonts w:ascii="Times New Roman" w:hAnsi="Times New Roman" w:cs="Times New Roman"/>
          <w:sz w:val="24"/>
          <w:szCs w:val="24"/>
        </w:rPr>
        <w:t xml:space="preserve"> The southern secessionists had barely time to organize itself politically before being forced into exile.</w:t>
      </w:r>
      <w:r w:rsidR="0056077B" w:rsidRPr="00F62BA4">
        <w:rPr>
          <w:rStyle w:val="FootnoteReference"/>
          <w:rFonts w:ascii="Times New Roman" w:hAnsi="Times New Roman" w:cs="Times New Roman"/>
          <w:sz w:val="24"/>
          <w:szCs w:val="24"/>
        </w:rPr>
        <w:footnoteReference w:id="481"/>
      </w:r>
    </w:p>
    <w:p w:rsidR="00F464A1" w:rsidRPr="00F62BA4" w:rsidRDefault="005211EA">
      <w:pPr>
        <w:rPr>
          <w:rFonts w:ascii="Times New Roman" w:hAnsi="Times New Roman" w:cs="Times New Roman"/>
          <w:b/>
          <w:sz w:val="24"/>
          <w:szCs w:val="24"/>
        </w:rPr>
      </w:pPr>
      <w:r w:rsidRPr="00F62BA4">
        <w:rPr>
          <w:rFonts w:ascii="Times New Roman" w:hAnsi="Times New Roman" w:cs="Times New Roman"/>
          <w:b/>
          <w:sz w:val="24"/>
          <w:szCs w:val="24"/>
        </w:rPr>
        <w:t>Yemen</w:t>
      </w:r>
      <w:r w:rsidR="004A18D9" w:rsidRPr="00F62BA4">
        <w:rPr>
          <w:rFonts w:ascii="Times New Roman" w:hAnsi="Times New Roman" w:cs="Times New Roman"/>
          <w:b/>
          <w:sz w:val="24"/>
          <w:szCs w:val="24"/>
        </w:rPr>
        <w:t xml:space="preserve"> (South)</w:t>
      </w:r>
      <w:r w:rsidR="001A61D3" w:rsidRPr="00F62BA4">
        <w:rPr>
          <w:rFonts w:ascii="Times New Roman" w:hAnsi="Times New Roman" w:cs="Times New Roman"/>
          <w:b/>
          <w:sz w:val="24"/>
          <w:szCs w:val="24"/>
        </w:rPr>
        <w:t xml:space="preserve"> </w:t>
      </w:r>
      <w:r w:rsidR="004D11D2" w:rsidRPr="00F62BA4">
        <w:rPr>
          <w:rFonts w:ascii="Times New Roman" w:hAnsi="Times New Roman" w:cs="Times New Roman"/>
          <w:b/>
          <w:sz w:val="24"/>
          <w:szCs w:val="24"/>
        </w:rPr>
        <w:t>(</w:t>
      </w:r>
      <w:r w:rsidR="001A61D3" w:rsidRPr="00F62BA4">
        <w:rPr>
          <w:rFonts w:ascii="Times New Roman" w:hAnsi="Times New Roman" w:cs="Times New Roman"/>
          <w:b/>
          <w:sz w:val="24"/>
          <w:szCs w:val="24"/>
        </w:rPr>
        <w:t>1986</w:t>
      </w:r>
      <w:r w:rsidR="004D11D2" w:rsidRPr="00F62BA4">
        <w:rPr>
          <w:rFonts w:ascii="Times New Roman" w:hAnsi="Times New Roman" w:cs="Times New Roman"/>
          <w:b/>
          <w:sz w:val="24"/>
          <w:szCs w:val="24"/>
        </w:rPr>
        <w:t>)</w:t>
      </w:r>
    </w:p>
    <w:p w:rsidR="001A61D3" w:rsidRPr="00F62BA4" w:rsidRDefault="00E06440">
      <w:pPr>
        <w:rPr>
          <w:rFonts w:ascii="Times New Roman" w:hAnsi="Times New Roman" w:cs="Times New Roman"/>
          <w:sz w:val="24"/>
          <w:szCs w:val="24"/>
        </w:rPr>
      </w:pPr>
      <w:r w:rsidRPr="00F62BA4">
        <w:rPr>
          <w:rFonts w:ascii="Times New Roman" w:hAnsi="Times New Roman" w:cs="Times New Roman"/>
          <w:sz w:val="24"/>
          <w:szCs w:val="24"/>
        </w:rPr>
        <w:t>Rebels</w:t>
      </w:r>
      <w:r w:rsidR="0093439C" w:rsidRPr="00F62BA4">
        <w:rPr>
          <w:rFonts w:ascii="Times New Roman" w:hAnsi="Times New Roman" w:cs="Times New Roman"/>
          <w:sz w:val="24"/>
          <w:szCs w:val="24"/>
        </w:rPr>
        <w:t xml:space="preserve"> / Incumbents</w:t>
      </w:r>
      <w:r w:rsidRPr="00F62BA4">
        <w:rPr>
          <w:rFonts w:ascii="Times New Roman" w:hAnsi="Times New Roman" w:cs="Times New Roman"/>
          <w:sz w:val="24"/>
          <w:szCs w:val="24"/>
        </w:rPr>
        <w:t xml:space="preserve">: </w:t>
      </w:r>
      <w:r w:rsidR="0093439C" w:rsidRPr="00F62BA4">
        <w:rPr>
          <w:rFonts w:ascii="Times New Roman" w:hAnsi="Times New Roman" w:cs="Times New Roman"/>
          <w:sz w:val="24"/>
          <w:szCs w:val="24"/>
        </w:rPr>
        <w:t xml:space="preserve">Fmr. President </w:t>
      </w:r>
      <w:r w:rsidR="00B36B3F" w:rsidRPr="00F62BA4">
        <w:rPr>
          <w:rFonts w:ascii="Times New Roman" w:hAnsi="Times New Roman" w:cs="Times New Roman"/>
          <w:sz w:val="24"/>
          <w:szCs w:val="24"/>
        </w:rPr>
        <w:t>Abd al-Fattah Ismail and his supporters</w:t>
      </w:r>
      <w:r w:rsidR="0093439C" w:rsidRPr="00F62BA4">
        <w:rPr>
          <w:rFonts w:ascii="Times New Roman" w:hAnsi="Times New Roman" w:cs="Times New Roman"/>
          <w:sz w:val="24"/>
          <w:szCs w:val="24"/>
        </w:rPr>
        <w:t xml:space="preserve"> / President Ali Nasir Muhammed and his supporters</w:t>
      </w:r>
    </w:p>
    <w:p w:rsidR="00D9746E" w:rsidRPr="00F62BA4" w:rsidRDefault="005B1032" w:rsidP="00D9746E">
      <w:pPr>
        <w:rPr>
          <w:rFonts w:ascii="Times New Roman" w:hAnsi="Times New Roman" w:cs="Times New Roman"/>
          <w:b/>
          <w:sz w:val="24"/>
          <w:szCs w:val="24"/>
        </w:rPr>
      </w:pPr>
      <w:r>
        <w:rPr>
          <w:rFonts w:ascii="Times New Roman" w:hAnsi="Times New Roman" w:cs="Times New Roman"/>
          <w:b/>
          <w:sz w:val="24"/>
          <w:szCs w:val="24"/>
        </w:rPr>
        <w:t>Policing/juridical</w:t>
      </w:r>
      <w:r w:rsidR="00D9746E" w:rsidRPr="00F62BA4">
        <w:rPr>
          <w:rFonts w:ascii="Times New Roman" w:hAnsi="Times New Roman" w:cs="Times New Roman"/>
          <w:b/>
          <w:sz w:val="24"/>
          <w:szCs w:val="24"/>
        </w:rPr>
        <w:t xml:space="preserve">: 0; Public Goods: 0; </w:t>
      </w:r>
      <w:r>
        <w:rPr>
          <w:rFonts w:ascii="Times New Roman" w:hAnsi="Times New Roman" w:cs="Times New Roman"/>
          <w:b/>
          <w:sz w:val="24"/>
          <w:szCs w:val="24"/>
        </w:rPr>
        <w:t>Consultative instruments</w:t>
      </w:r>
      <w:r w:rsidR="00D9746E" w:rsidRPr="00F62BA4">
        <w:rPr>
          <w:rFonts w:ascii="Times New Roman" w:hAnsi="Times New Roman" w:cs="Times New Roman"/>
          <w:b/>
          <w:sz w:val="24"/>
          <w:szCs w:val="24"/>
        </w:rPr>
        <w:t>: 0</w:t>
      </w:r>
    </w:p>
    <w:p w:rsidR="00C413FF" w:rsidRPr="00F62BA4" w:rsidRDefault="00990872">
      <w:pPr>
        <w:rPr>
          <w:rFonts w:ascii="Times New Roman" w:hAnsi="Times New Roman" w:cs="Times New Roman"/>
          <w:sz w:val="24"/>
          <w:szCs w:val="24"/>
        </w:rPr>
      </w:pPr>
      <w:r w:rsidRPr="00F62BA4">
        <w:rPr>
          <w:rFonts w:ascii="Times New Roman" w:hAnsi="Times New Roman" w:cs="Times New Roman"/>
          <w:sz w:val="24"/>
          <w:szCs w:val="24"/>
        </w:rPr>
        <w:tab/>
        <w:t xml:space="preserve">South Yemen faced something of a war of succession in early 1986. </w:t>
      </w:r>
      <w:r w:rsidR="003F248E" w:rsidRPr="00F62BA4">
        <w:rPr>
          <w:rFonts w:ascii="Times New Roman" w:hAnsi="Times New Roman" w:cs="Times New Roman"/>
          <w:sz w:val="24"/>
          <w:szCs w:val="24"/>
        </w:rPr>
        <w:t>President Ali Nasir Muhammed, reacting to rising opposition from the country’s politburo—and the resurgent former president Abd al-Fattah Ismail</w:t>
      </w:r>
      <w:r w:rsidR="0093439C" w:rsidRPr="00F62BA4">
        <w:rPr>
          <w:rFonts w:ascii="Times New Roman" w:hAnsi="Times New Roman" w:cs="Times New Roman"/>
          <w:sz w:val="24"/>
          <w:szCs w:val="24"/>
        </w:rPr>
        <w:t xml:space="preserve"> (at the behest of his supporters in Moscow)</w:t>
      </w:r>
      <w:r w:rsidR="003F248E" w:rsidRPr="00F62BA4">
        <w:rPr>
          <w:rFonts w:ascii="Times New Roman" w:hAnsi="Times New Roman" w:cs="Times New Roman"/>
          <w:sz w:val="24"/>
          <w:szCs w:val="24"/>
        </w:rPr>
        <w:t>—sent his bodyguards to sit in for him at a politburo meeting.</w:t>
      </w:r>
      <w:r w:rsidR="003F248E" w:rsidRPr="00F62BA4">
        <w:rPr>
          <w:rStyle w:val="FootnoteReference"/>
          <w:rFonts w:ascii="Times New Roman" w:hAnsi="Times New Roman" w:cs="Times New Roman"/>
          <w:sz w:val="24"/>
          <w:szCs w:val="24"/>
        </w:rPr>
        <w:footnoteReference w:id="482"/>
      </w:r>
      <w:r w:rsidR="003F248E" w:rsidRPr="00F62BA4">
        <w:rPr>
          <w:rFonts w:ascii="Times New Roman" w:hAnsi="Times New Roman" w:cs="Times New Roman"/>
          <w:sz w:val="24"/>
          <w:szCs w:val="24"/>
        </w:rPr>
        <w:t xml:space="preserve"> The bodyguards opened fire on the assembled members, sparking a brief but remarkably violent civil war. </w:t>
      </w:r>
      <w:r w:rsidR="00C413FF" w:rsidRPr="00F62BA4">
        <w:rPr>
          <w:rFonts w:ascii="Times New Roman" w:hAnsi="Times New Roman" w:cs="Times New Roman"/>
          <w:sz w:val="24"/>
          <w:szCs w:val="24"/>
        </w:rPr>
        <w:t>The war itself hinged on the allegiances of various elements of Yemen’s armed forces, with the Ismail-aligned tank corps ultimately deciding the conflict.</w:t>
      </w:r>
      <w:r w:rsidR="00C413FF" w:rsidRPr="00F62BA4">
        <w:rPr>
          <w:rStyle w:val="FootnoteReference"/>
          <w:rFonts w:ascii="Times New Roman" w:hAnsi="Times New Roman" w:cs="Times New Roman"/>
          <w:sz w:val="24"/>
          <w:szCs w:val="24"/>
        </w:rPr>
        <w:footnoteReference w:id="483"/>
      </w:r>
    </w:p>
    <w:p w:rsidR="00C413FF" w:rsidRPr="00F62BA4" w:rsidRDefault="00C413FF">
      <w:pPr>
        <w:rPr>
          <w:rFonts w:ascii="Times New Roman" w:hAnsi="Times New Roman" w:cs="Times New Roman"/>
          <w:sz w:val="24"/>
          <w:szCs w:val="24"/>
        </w:rPr>
      </w:pPr>
      <w:r w:rsidRPr="00F62BA4">
        <w:rPr>
          <w:rFonts w:ascii="Times New Roman" w:hAnsi="Times New Roman" w:cs="Times New Roman"/>
          <w:sz w:val="24"/>
          <w:szCs w:val="24"/>
        </w:rPr>
        <w:tab/>
        <w:t>There is no evidence that any constructive political developments took place</w:t>
      </w:r>
      <w:r w:rsidR="007B3A6A" w:rsidRPr="00F62BA4">
        <w:rPr>
          <w:rFonts w:ascii="Times New Roman" w:hAnsi="Times New Roman" w:cs="Times New Roman"/>
          <w:sz w:val="24"/>
          <w:szCs w:val="24"/>
        </w:rPr>
        <w:t xml:space="preserve"> d</w:t>
      </w:r>
      <w:r w:rsidRPr="00F62BA4">
        <w:rPr>
          <w:rFonts w:ascii="Times New Roman" w:hAnsi="Times New Roman" w:cs="Times New Roman"/>
          <w:sz w:val="24"/>
          <w:szCs w:val="24"/>
        </w:rPr>
        <w:t>uring the conflict.</w:t>
      </w:r>
      <w:r w:rsidR="007B3A6A" w:rsidRPr="00F62BA4">
        <w:rPr>
          <w:rFonts w:ascii="Times New Roman" w:hAnsi="Times New Roman" w:cs="Times New Roman"/>
          <w:sz w:val="24"/>
          <w:szCs w:val="24"/>
        </w:rPr>
        <w:t xml:space="preserve"> Accounts from the time describe unorganized spasms of violence.</w:t>
      </w:r>
      <w:r w:rsidR="007B3A6A" w:rsidRPr="00F62BA4">
        <w:rPr>
          <w:rStyle w:val="FootnoteReference"/>
          <w:rFonts w:ascii="Times New Roman" w:hAnsi="Times New Roman" w:cs="Times New Roman"/>
          <w:sz w:val="24"/>
          <w:szCs w:val="24"/>
        </w:rPr>
        <w:footnoteReference w:id="484"/>
      </w:r>
      <w:r w:rsidR="007B3A6A" w:rsidRPr="00F62BA4">
        <w:rPr>
          <w:rFonts w:ascii="Times New Roman" w:hAnsi="Times New Roman" w:cs="Times New Roman"/>
          <w:sz w:val="24"/>
          <w:szCs w:val="24"/>
        </w:rPr>
        <w:t xml:space="preserve"> Although it is noteworthy that Ali Nasir’s decision to reach out to North Yemen may have contributed to the country’s eventual unification, this eventuality may have also been produced by the loss of much of its political leadership. Ali Nasir was forced to flee the country</w:t>
      </w:r>
      <w:r w:rsidR="00127886" w:rsidRPr="00F62BA4">
        <w:rPr>
          <w:rFonts w:ascii="Times New Roman" w:hAnsi="Times New Roman" w:cs="Times New Roman"/>
          <w:sz w:val="24"/>
          <w:szCs w:val="24"/>
        </w:rPr>
        <w:t>, as was Ismail.</w:t>
      </w:r>
      <w:r w:rsidR="007B3A6A" w:rsidRPr="00F62BA4">
        <w:rPr>
          <w:rStyle w:val="FootnoteReference"/>
          <w:rFonts w:ascii="Times New Roman" w:hAnsi="Times New Roman" w:cs="Times New Roman"/>
          <w:sz w:val="24"/>
          <w:szCs w:val="24"/>
        </w:rPr>
        <w:footnoteReference w:id="485"/>
      </w:r>
      <w:r w:rsidR="00127886" w:rsidRPr="00F62BA4">
        <w:rPr>
          <w:rFonts w:ascii="Times New Roman" w:hAnsi="Times New Roman" w:cs="Times New Roman"/>
          <w:sz w:val="24"/>
          <w:szCs w:val="24"/>
        </w:rPr>
        <w:t xml:space="preserve"> The latter perished under somewhat suspicious circumstances, but even though the former survived, South Yemen’s political class was crippled by the war.</w:t>
      </w:r>
    </w:p>
    <w:p w:rsidR="001C581E" w:rsidRPr="00F62BA4" w:rsidRDefault="001C581E" w:rsidP="001C581E">
      <w:pPr>
        <w:rPr>
          <w:rFonts w:ascii="Times New Roman" w:hAnsi="Times New Roman" w:cs="Times New Roman"/>
          <w:sz w:val="24"/>
          <w:szCs w:val="24"/>
        </w:rPr>
      </w:pPr>
    </w:p>
    <w:p w:rsidR="00556302" w:rsidRPr="001A61D3" w:rsidRDefault="00556302">
      <w:pPr>
        <w:rPr>
          <w:rFonts w:ascii="Times New Roman" w:hAnsi="Times New Roman" w:cs="Times New Roman"/>
        </w:rPr>
      </w:pPr>
    </w:p>
    <w:sectPr w:rsidR="00556302" w:rsidRPr="001A6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14" w:rsidRDefault="00023314" w:rsidP="003F248E">
      <w:pPr>
        <w:spacing w:after="0" w:line="240" w:lineRule="auto"/>
      </w:pPr>
      <w:r>
        <w:separator/>
      </w:r>
    </w:p>
  </w:endnote>
  <w:endnote w:type="continuationSeparator" w:id="0">
    <w:p w:rsidR="00023314" w:rsidRDefault="00023314" w:rsidP="003F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14" w:rsidRDefault="00023314" w:rsidP="003F248E">
      <w:pPr>
        <w:spacing w:after="0" w:line="240" w:lineRule="auto"/>
      </w:pPr>
      <w:r>
        <w:separator/>
      </w:r>
    </w:p>
  </w:footnote>
  <w:footnote w:type="continuationSeparator" w:id="0">
    <w:p w:rsidR="00023314" w:rsidRDefault="00023314" w:rsidP="003F248E">
      <w:pPr>
        <w:spacing w:after="0" w:line="240" w:lineRule="auto"/>
      </w:pPr>
      <w:r>
        <w:continuationSeparator/>
      </w:r>
    </w:p>
  </w:footnote>
  <w:footnote w:id="1">
    <w:p w:rsidR="002B4254" w:rsidRPr="00BC38A0" w:rsidRDefault="002B4254">
      <w:pPr>
        <w:pStyle w:val="FootnoteText"/>
      </w:pPr>
      <w:r>
        <w:rPr>
          <w:rStyle w:val="FootnoteReference"/>
        </w:rPr>
        <w:footnoteRef/>
      </w:r>
      <w:r>
        <w:t xml:space="preserve"> Although many sources note the ideological differences along the axes of religion and perceived degree of fundamentalist devotion thereto, Fotini Christia lists them according to their principal ethnic groups. (Fotini Christia, </w:t>
      </w:r>
      <w:r>
        <w:rPr>
          <w:i/>
        </w:rPr>
        <w:t>Alliance Formation and Civil Wars</w:t>
      </w:r>
      <w:r>
        <w:t>, Cambridge University Press, 2012, pp. 57-60</w:t>
      </w:r>
    </w:p>
  </w:footnote>
  <w:footnote w:id="2">
    <w:p w:rsidR="002B4254" w:rsidRPr="00571C8E" w:rsidRDefault="002B4254">
      <w:pPr>
        <w:pStyle w:val="FootnoteText"/>
      </w:pPr>
      <w:r>
        <w:rPr>
          <w:rStyle w:val="FootnoteReference"/>
        </w:rPr>
        <w:footnoteRef/>
      </w:r>
      <w:r>
        <w:t xml:space="preserve"> Amalendu</w:t>
      </w:r>
      <w:r w:rsidRPr="00256C9A">
        <w:t xml:space="preserve"> </w:t>
      </w:r>
      <w:r>
        <w:t xml:space="preserve">Misra, </w:t>
      </w:r>
      <w:r>
        <w:rPr>
          <w:i/>
        </w:rPr>
        <w:t>Afghanistan: The Labyrinth of Violence</w:t>
      </w:r>
      <w:r>
        <w:t>, Polity Press, 2004, pp. 20-26</w:t>
      </w:r>
    </w:p>
  </w:footnote>
  <w:footnote w:id="3">
    <w:p w:rsidR="002B4254" w:rsidRDefault="002B4254">
      <w:pPr>
        <w:pStyle w:val="FootnoteText"/>
      </w:pPr>
      <w:r>
        <w:rPr>
          <w:rStyle w:val="FootnoteReference"/>
        </w:rPr>
        <w:footnoteRef/>
      </w:r>
      <w:r>
        <w:t xml:space="preserve"> Ibid. pp. 48-60</w:t>
      </w:r>
    </w:p>
  </w:footnote>
  <w:footnote w:id="4">
    <w:p w:rsidR="002B4254" w:rsidRDefault="002B4254">
      <w:pPr>
        <w:pStyle w:val="FootnoteText"/>
      </w:pPr>
      <w:r>
        <w:rPr>
          <w:rStyle w:val="FootnoteReference"/>
        </w:rPr>
        <w:footnoteRef/>
      </w:r>
      <w:r>
        <w:t xml:space="preserve"> Antonio Giustozzi, “Afghanistan: Political Parties or Militia Fronts?” </w:t>
      </w:r>
      <w:r>
        <w:rPr>
          <w:i/>
        </w:rPr>
        <w:t>From Soldiers to Politicians: Transforming Rebel Movements After Civil War</w:t>
      </w:r>
      <w:r>
        <w:t>, ed. Jeroen De Zeeuw, Lynne Rienner, 2008, pp. 179-181</w:t>
      </w:r>
    </w:p>
  </w:footnote>
  <w:footnote w:id="5">
    <w:p w:rsidR="00CC37C8" w:rsidRDefault="00CC37C8">
      <w:pPr>
        <w:pStyle w:val="FootnoteText"/>
      </w:pPr>
      <w:r>
        <w:rPr>
          <w:rStyle w:val="FootnoteReference"/>
        </w:rPr>
        <w:footnoteRef/>
      </w:r>
      <w:r>
        <w:t xml:space="preserve"> </w:t>
      </w:r>
      <w:r w:rsidR="00D107FD">
        <w:t xml:space="preserve">Angelo Rasanayagam. 2005. </w:t>
      </w:r>
      <w:r w:rsidR="00587ED3">
        <w:rPr>
          <w:i/>
          <w:iCs/>
        </w:rPr>
        <w:t>Afghanistan</w:t>
      </w:r>
      <w:r w:rsidR="00D107FD">
        <w:rPr>
          <w:i/>
          <w:iCs/>
        </w:rPr>
        <w:t>: A Modern History</w:t>
      </w:r>
      <w:r w:rsidR="00D107FD">
        <w:t xml:space="preserve"> (New York: I.B. Tauris &amp; Co),</w:t>
      </w:r>
      <w:r w:rsidR="00587ED3">
        <w:t xml:space="preserve"> 134.</w:t>
      </w:r>
    </w:p>
  </w:footnote>
  <w:footnote w:id="6">
    <w:p w:rsidR="00CC37C8" w:rsidRDefault="00CC37C8">
      <w:pPr>
        <w:pStyle w:val="FootnoteText"/>
      </w:pPr>
      <w:r>
        <w:rPr>
          <w:rStyle w:val="FootnoteReference"/>
        </w:rPr>
        <w:footnoteRef/>
      </w:r>
      <w:r>
        <w:t xml:space="preserve"> </w:t>
      </w:r>
      <w:r w:rsidR="00D107FD">
        <w:t xml:space="preserve">Barnett R. Rubin. 2002. </w:t>
      </w:r>
      <w:r w:rsidR="00D107FD">
        <w:rPr>
          <w:i/>
          <w:iCs/>
        </w:rPr>
        <w:t>The Fragmentation of Afghanistan</w:t>
      </w:r>
      <w:r w:rsidR="00D107FD">
        <w:t xml:space="preserve"> (New Haven, CT: Yale University Press), </w:t>
      </w:r>
      <w:r w:rsidR="00587ED3">
        <w:t>236-237.</w:t>
      </w:r>
    </w:p>
  </w:footnote>
  <w:footnote w:id="7">
    <w:p w:rsidR="00587ED3" w:rsidRDefault="00587ED3">
      <w:pPr>
        <w:pStyle w:val="FootnoteText"/>
      </w:pPr>
      <w:r>
        <w:rPr>
          <w:rStyle w:val="FootnoteReference"/>
        </w:rPr>
        <w:footnoteRef/>
      </w:r>
      <w:r>
        <w:t xml:space="preserve"> </w:t>
      </w:r>
      <w:r w:rsidR="00D107FD">
        <w:t xml:space="preserve">Rasanayagam. </w:t>
      </w:r>
      <w:r w:rsidR="00D107FD">
        <w:rPr>
          <w:i/>
          <w:iCs/>
        </w:rPr>
        <w:t>Afghanistan</w:t>
      </w:r>
      <w:r w:rsidR="00D107FD">
        <w:t xml:space="preserve">, </w:t>
      </w:r>
      <w:r>
        <w:t>134-135.</w:t>
      </w:r>
    </w:p>
  </w:footnote>
  <w:footnote w:id="8">
    <w:p w:rsidR="00CD4DD7" w:rsidRDefault="00CD4DD7">
      <w:pPr>
        <w:pStyle w:val="FootnoteText"/>
      </w:pPr>
      <w:r>
        <w:rPr>
          <w:rStyle w:val="FootnoteReference"/>
        </w:rPr>
        <w:footnoteRef/>
      </w:r>
      <w:r>
        <w:t xml:space="preserve"> Reyko Huang also notes the mention of legal services (see: 2016. </w:t>
      </w:r>
      <w:r w:rsidRPr="00CD4DD7">
        <w:t xml:space="preserve">Rebel Governance Dataset Coding Notes, </w:t>
      </w:r>
      <w:r>
        <w:t>(</w:t>
      </w:r>
      <w:r w:rsidRPr="00CD4DD7">
        <w:t>accessed February 25, 2018</w:t>
      </w:r>
      <w:r>
        <w:t>)</w:t>
      </w:r>
      <w:r w:rsidRPr="00CD4DD7">
        <w:t>, http://www.reykohuang.com/uploads/7/7/5/9/77594542/rgd.zip</w:t>
      </w:r>
      <w:r>
        <w:t>) but codes legal services as absent as evidence of its application is also such.</w:t>
      </w:r>
      <w:bookmarkStart w:id="0" w:name="_GoBack"/>
      <w:bookmarkEnd w:id="0"/>
    </w:p>
  </w:footnote>
  <w:footnote w:id="9">
    <w:p w:rsidR="002B4254" w:rsidRDefault="002B4254">
      <w:pPr>
        <w:pStyle w:val="FootnoteText"/>
      </w:pPr>
      <w:r>
        <w:rPr>
          <w:rStyle w:val="FootnoteReference"/>
        </w:rPr>
        <w:footnoteRef/>
      </w:r>
      <w:r>
        <w:t xml:space="preserve"> William</w:t>
      </w:r>
      <w:r w:rsidRPr="00256C9A">
        <w:t xml:space="preserve"> </w:t>
      </w:r>
      <w:r>
        <w:t xml:space="preserve">Maley, </w:t>
      </w:r>
      <w:r>
        <w:rPr>
          <w:i/>
        </w:rPr>
        <w:t>The Afghanistan Wars</w:t>
      </w:r>
      <w:r>
        <w:t>, Palgrave, 2002, pp. 184-201</w:t>
      </w:r>
    </w:p>
  </w:footnote>
  <w:footnote w:id="10">
    <w:p w:rsidR="002B4254" w:rsidRPr="00DE33C8" w:rsidRDefault="002B4254">
      <w:pPr>
        <w:pStyle w:val="FootnoteText"/>
      </w:pPr>
      <w:r>
        <w:rPr>
          <w:rStyle w:val="FootnoteReference"/>
        </w:rPr>
        <w:footnoteRef/>
      </w:r>
      <w:r>
        <w:t xml:space="preserve"> Christia, </w:t>
      </w:r>
      <w:r>
        <w:rPr>
          <w:i/>
        </w:rPr>
        <w:t>Alliance Formation</w:t>
      </w:r>
      <w:r>
        <w:t>, pp. 61-63</w:t>
      </w:r>
    </w:p>
  </w:footnote>
  <w:footnote w:id="11">
    <w:p w:rsidR="002B4254" w:rsidRPr="00C744FC" w:rsidRDefault="002B4254">
      <w:pPr>
        <w:pStyle w:val="FootnoteText"/>
      </w:pPr>
      <w:r>
        <w:rPr>
          <w:rStyle w:val="FootnoteReference"/>
        </w:rPr>
        <w:footnoteRef/>
      </w:r>
      <w:r>
        <w:t xml:space="preserve"> Misra, </w:t>
      </w:r>
      <w:r>
        <w:rPr>
          <w:i/>
        </w:rPr>
        <w:t>Afghanistan</w:t>
      </w:r>
      <w:r>
        <w:t>, pp. 69-79</w:t>
      </w:r>
    </w:p>
  </w:footnote>
  <w:footnote w:id="12">
    <w:p w:rsidR="002B4254" w:rsidRDefault="002B4254">
      <w:pPr>
        <w:pStyle w:val="FootnoteText"/>
      </w:pPr>
      <w:r>
        <w:rPr>
          <w:rStyle w:val="FootnoteReference"/>
        </w:rPr>
        <w:footnoteRef/>
      </w:r>
      <w:r>
        <w:t xml:space="preserve"> Neal A.</w:t>
      </w:r>
      <w:r w:rsidRPr="00256C9A">
        <w:t xml:space="preserve"> </w:t>
      </w:r>
      <w:r>
        <w:t xml:space="preserve">Englehart, “A Tale of Two Afghanistans: Comparative Governance and Insurgency in the North and South,” </w:t>
      </w:r>
      <w:r>
        <w:rPr>
          <w:i/>
        </w:rPr>
        <w:t>Asian Survey</w:t>
      </w:r>
      <w:r>
        <w:t>, Vol. 50, No. 4 (July/Aug. 2010), pp. 738-741</w:t>
      </w:r>
    </w:p>
  </w:footnote>
  <w:footnote w:id="13">
    <w:p w:rsidR="002B4254" w:rsidRDefault="002B4254">
      <w:pPr>
        <w:pStyle w:val="FootnoteText"/>
      </w:pPr>
      <w:r>
        <w:rPr>
          <w:rStyle w:val="FootnoteReference"/>
        </w:rPr>
        <w:footnoteRef/>
      </w:r>
      <w:r>
        <w:t xml:space="preserve"> Giustozzi, “Afghanistan,” pp. 180-181</w:t>
      </w:r>
    </w:p>
  </w:footnote>
  <w:footnote w:id="14">
    <w:p w:rsidR="002B4254" w:rsidRPr="008C36CF" w:rsidRDefault="002B4254">
      <w:pPr>
        <w:pStyle w:val="FootnoteText"/>
      </w:pPr>
      <w:r>
        <w:rPr>
          <w:rStyle w:val="FootnoteReference"/>
        </w:rPr>
        <w:footnoteRef/>
      </w:r>
      <w:r>
        <w:t xml:space="preserve"> Christia, </w:t>
      </w:r>
      <w:r>
        <w:rPr>
          <w:i/>
        </w:rPr>
        <w:t>Alliance Formation</w:t>
      </w:r>
      <w:r>
        <w:t>, pp. 75-83</w:t>
      </w:r>
    </w:p>
  </w:footnote>
  <w:footnote w:id="15">
    <w:p w:rsidR="002B4254" w:rsidRDefault="002B4254">
      <w:pPr>
        <w:pStyle w:val="FootnoteText"/>
      </w:pPr>
      <w:r>
        <w:rPr>
          <w:rStyle w:val="FootnoteReference"/>
        </w:rPr>
        <w:footnoteRef/>
      </w:r>
      <w:r>
        <w:t xml:space="preserve"> Martin Ewans, </w:t>
      </w:r>
      <w:r>
        <w:rPr>
          <w:i/>
        </w:rPr>
        <w:t>Afghanistan: A New History</w:t>
      </w:r>
      <w:r>
        <w:t>, Routledge Curzon, 2001, pp. 208-211</w:t>
      </w:r>
    </w:p>
  </w:footnote>
  <w:footnote w:id="16">
    <w:p w:rsidR="002B4254" w:rsidRDefault="002B4254">
      <w:pPr>
        <w:pStyle w:val="FootnoteText"/>
      </w:pPr>
      <w:r>
        <w:rPr>
          <w:rStyle w:val="FootnoteReference"/>
        </w:rPr>
        <w:footnoteRef/>
      </w:r>
      <w:r>
        <w:t xml:space="preserve"> Englehart, “Tale of Two Afghanistans,” pp. 741-743</w:t>
      </w:r>
    </w:p>
  </w:footnote>
  <w:footnote w:id="17">
    <w:p w:rsidR="002B4254" w:rsidRDefault="002B4254">
      <w:pPr>
        <w:pStyle w:val="FootnoteText"/>
      </w:pPr>
      <w:r>
        <w:rPr>
          <w:rStyle w:val="FootnoteReference"/>
        </w:rPr>
        <w:footnoteRef/>
      </w:r>
      <w:r>
        <w:t xml:space="preserve"> Ahmed Rashid, </w:t>
      </w:r>
      <w:r>
        <w:rPr>
          <w:i/>
        </w:rPr>
        <w:t>Taliban: Militant Islam, Oil, and Fundamentalism in Central Asia, 2</w:t>
      </w:r>
      <w:r w:rsidRPr="003F7CC2">
        <w:rPr>
          <w:i/>
          <w:vertAlign w:val="superscript"/>
        </w:rPr>
        <w:t>nd</w:t>
      </w:r>
      <w:r>
        <w:rPr>
          <w:i/>
        </w:rPr>
        <w:t xml:space="preserve"> Edition</w:t>
      </w:r>
      <w:r>
        <w:t>, Yale University Press, 2010, pp. 56-57</w:t>
      </w:r>
    </w:p>
  </w:footnote>
  <w:footnote w:id="18">
    <w:p w:rsidR="002B4254" w:rsidRDefault="002B4254">
      <w:pPr>
        <w:pStyle w:val="FootnoteText"/>
      </w:pPr>
      <w:r>
        <w:rPr>
          <w:rStyle w:val="FootnoteReference"/>
        </w:rPr>
        <w:footnoteRef/>
      </w:r>
      <w:r>
        <w:t xml:space="preserve"> Ibid. pp. 743-746</w:t>
      </w:r>
    </w:p>
  </w:footnote>
  <w:footnote w:id="19">
    <w:p w:rsidR="002B4254" w:rsidRDefault="002B4254">
      <w:pPr>
        <w:pStyle w:val="FootnoteText"/>
      </w:pPr>
      <w:r>
        <w:rPr>
          <w:rStyle w:val="FootnoteReference"/>
        </w:rPr>
        <w:footnoteRef/>
      </w:r>
      <w:r>
        <w:t xml:space="preserve"> Adam Tarock, “The Politics of the Pipeline: The Iran and Afghanistan Conflict,” </w:t>
      </w:r>
      <w:r>
        <w:rPr>
          <w:i/>
        </w:rPr>
        <w:t>Third World Quarterly</w:t>
      </w:r>
      <w:r>
        <w:t>, Vol. 20, No. 4 (Aug. 1999), p. 815</w:t>
      </w:r>
    </w:p>
  </w:footnote>
  <w:footnote w:id="20">
    <w:p w:rsidR="002B4254" w:rsidRDefault="002B4254">
      <w:pPr>
        <w:pStyle w:val="FootnoteText"/>
      </w:pPr>
      <w:r>
        <w:rPr>
          <w:rStyle w:val="FootnoteReference"/>
        </w:rPr>
        <w:footnoteRef/>
      </w:r>
      <w:r>
        <w:t xml:space="preserve"> Martin</w:t>
      </w:r>
      <w:r w:rsidRPr="00256C9A">
        <w:t xml:space="preserve"> </w:t>
      </w:r>
      <w:r>
        <w:t xml:space="preserve">Evans and John Philipps, </w:t>
      </w:r>
      <w:r>
        <w:rPr>
          <w:i/>
        </w:rPr>
        <w:t>Algeria: Anger of the Dispossessed</w:t>
      </w:r>
      <w:r>
        <w:t>, Yale University Press, 2007, pp. 177-214</w:t>
      </w:r>
    </w:p>
  </w:footnote>
  <w:footnote w:id="21">
    <w:p w:rsidR="002B4254" w:rsidRPr="00DE7404" w:rsidRDefault="002B4254">
      <w:pPr>
        <w:pStyle w:val="FootnoteText"/>
      </w:pPr>
      <w:r>
        <w:rPr>
          <w:rStyle w:val="FootnoteReference"/>
        </w:rPr>
        <w:footnoteRef/>
      </w:r>
      <w:r>
        <w:t xml:space="preserve"> Jeremy, M.</w:t>
      </w:r>
      <w:r w:rsidRPr="00256C9A">
        <w:t xml:space="preserve"> </w:t>
      </w:r>
      <w:r>
        <w:t xml:space="preserve">Weinstein, </w:t>
      </w:r>
      <w:r>
        <w:rPr>
          <w:i/>
        </w:rPr>
        <w:t>Inside Rebellion: The Politics of Insurgent Violence</w:t>
      </w:r>
      <w:r>
        <w:t>, Cambridge University Press, 2007, pp. 315-318</w:t>
      </w:r>
    </w:p>
  </w:footnote>
  <w:footnote w:id="22">
    <w:p w:rsidR="002B4254" w:rsidRDefault="002B4254">
      <w:pPr>
        <w:pStyle w:val="FootnoteText"/>
      </w:pPr>
      <w:r>
        <w:rPr>
          <w:rStyle w:val="FootnoteReference"/>
        </w:rPr>
        <w:footnoteRef/>
      </w:r>
      <w:r>
        <w:t xml:space="preserve"> Ibid. 215-251</w:t>
      </w:r>
    </w:p>
  </w:footnote>
  <w:footnote w:id="23">
    <w:p w:rsidR="002B4254" w:rsidRPr="005C6E16" w:rsidRDefault="002B4254">
      <w:pPr>
        <w:pStyle w:val="FootnoteText"/>
      </w:pPr>
      <w:r>
        <w:rPr>
          <w:rStyle w:val="FootnoteReference"/>
        </w:rPr>
        <w:footnoteRef/>
      </w:r>
      <w:r>
        <w:t xml:space="preserve"> Mohammed M. Hafez, “</w:t>
      </w:r>
      <w:r w:rsidRPr="005C6E16">
        <w:t>Armed Islamist Movements and Political Violence in Algeria</w:t>
      </w:r>
      <w:r>
        <w:t xml:space="preserve">,” </w:t>
      </w:r>
      <w:r>
        <w:rPr>
          <w:i/>
        </w:rPr>
        <w:t>Middle East Journal</w:t>
      </w:r>
      <w:r>
        <w:t xml:space="preserve">, Vol. 54, No. 4 (Autumn, 2000), </w:t>
      </w:r>
      <w:r w:rsidRPr="005C6E16">
        <w:t>pp. 572-591</w:t>
      </w:r>
    </w:p>
  </w:footnote>
  <w:footnote w:id="24">
    <w:p w:rsidR="002B4254" w:rsidRDefault="002B4254">
      <w:pPr>
        <w:pStyle w:val="FootnoteText"/>
      </w:pPr>
      <w:r>
        <w:rPr>
          <w:rStyle w:val="FootnoteReference"/>
        </w:rPr>
        <w:footnoteRef/>
      </w:r>
      <w:r>
        <w:t xml:space="preserve"> Lahouari</w:t>
      </w:r>
      <w:r w:rsidRPr="007872F7">
        <w:t xml:space="preserve"> </w:t>
      </w:r>
      <w:r>
        <w:t>Addi, “</w:t>
      </w:r>
      <w:r w:rsidRPr="00FA448D">
        <w:t>Algeria's Army, Algeria's Agony</w:t>
      </w:r>
      <w:r>
        <w:t xml:space="preserve">,” </w:t>
      </w:r>
      <w:r>
        <w:rPr>
          <w:i/>
        </w:rPr>
        <w:t>Foreign Affairs</w:t>
      </w:r>
      <w:r>
        <w:t xml:space="preserve">, Vol 77, No. 4 (Jul. – Aug. 1998), pp. 44-53 </w:t>
      </w:r>
    </w:p>
  </w:footnote>
  <w:footnote w:id="25">
    <w:p w:rsidR="002B4254" w:rsidRDefault="002B4254">
      <w:pPr>
        <w:pStyle w:val="FootnoteText"/>
      </w:pPr>
      <w:r>
        <w:rPr>
          <w:rStyle w:val="FootnoteReference"/>
        </w:rPr>
        <w:footnoteRef/>
      </w:r>
      <w:r>
        <w:t xml:space="preserve"> Nora Dudwick, “Armenia: Paradise Lost?” </w:t>
      </w:r>
      <w:r>
        <w:rPr>
          <w:i/>
        </w:rPr>
        <w:t>New States, New Politics: Building the Post-Soviet Nations</w:t>
      </w:r>
      <w:r>
        <w:t>, eds. Ian Bremmer and Ray Taras, Cambridge University Press, 1997, pp. 491-492</w:t>
      </w:r>
    </w:p>
  </w:footnote>
  <w:footnote w:id="26">
    <w:p w:rsidR="002B4254" w:rsidRDefault="002B4254">
      <w:pPr>
        <w:pStyle w:val="FootnoteText"/>
      </w:pPr>
      <w:r>
        <w:rPr>
          <w:rStyle w:val="FootnoteReference"/>
        </w:rPr>
        <w:footnoteRef/>
      </w:r>
      <w:r>
        <w:t xml:space="preserve"> Anne-Marie</w:t>
      </w:r>
      <w:r w:rsidRPr="007872F7">
        <w:t xml:space="preserve"> </w:t>
      </w:r>
      <w:r>
        <w:t xml:space="preserve">Gardner, “Beyond Standards, before Status: Democratic Governance and non-State Actors,” </w:t>
      </w:r>
      <w:r>
        <w:rPr>
          <w:i/>
        </w:rPr>
        <w:t>Review of International Studies</w:t>
      </w:r>
      <w:r>
        <w:t>, Vol. 34, No. 3 (July, 2008), pp. 547-548</w:t>
      </w:r>
    </w:p>
  </w:footnote>
  <w:footnote w:id="27">
    <w:p w:rsidR="002B4254" w:rsidRDefault="002B4254">
      <w:pPr>
        <w:pStyle w:val="FootnoteText"/>
      </w:pPr>
      <w:r>
        <w:rPr>
          <w:rStyle w:val="FootnoteReference"/>
        </w:rPr>
        <w:footnoteRef/>
      </w:r>
      <w:r>
        <w:t xml:space="preserve"> </w:t>
      </w:r>
      <w:r w:rsidRPr="00CC6485">
        <w:t>Pål Kolstø</w:t>
      </w:r>
      <w:r>
        <w:t xml:space="preserve"> </w:t>
      </w:r>
      <w:r w:rsidRPr="00CC6485">
        <w:t>and Helge Blakkisrud</w:t>
      </w:r>
      <w:r>
        <w:t xml:space="preserve">, “Living With Non-Recognition: State- and Nation-Building in South Caucasian Quasi-States,” </w:t>
      </w:r>
      <w:r>
        <w:rPr>
          <w:i/>
        </w:rPr>
        <w:t>Europe-Asia Studies</w:t>
      </w:r>
      <w:r>
        <w:t>, Vol. 60, No. 3 (May, 2008), p. 501</w:t>
      </w:r>
    </w:p>
  </w:footnote>
  <w:footnote w:id="28">
    <w:p w:rsidR="002B4254" w:rsidRDefault="002B4254" w:rsidP="00AC2EF1">
      <w:pPr>
        <w:pStyle w:val="FootnoteText"/>
      </w:pPr>
      <w:r>
        <w:rPr>
          <w:rStyle w:val="FootnoteReference"/>
        </w:rPr>
        <w:footnoteRef/>
      </w:r>
      <w:r>
        <w:t xml:space="preserve"> Bartosz H.</w:t>
      </w:r>
      <w:r w:rsidRPr="007872F7">
        <w:t xml:space="preserve"> </w:t>
      </w:r>
      <w:r>
        <w:t>Stanislawski, Katarzyna Pełczyńska-Nałęcz, Krzysztof Strachota, Maciej Falkowski, David M. Crane and Melvyn Levitsky, “Para-States, Quasi-States, and Black Spots: Perhaps Not States, but Not ‘Ungoverned</w:t>
      </w:r>
    </w:p>
    <w:p w:rsidR="002B4254" w:rsidRDefault="002B4254" w:rsidP="00AC2EF1">
      <w:pPr>
        <w:pStyle w:val="FootnoteText"/>
      </w:pPr>
      <w:r>
        <w:t xml:space="preserve">Territories,’ Either,” </w:t>
      </w:r>
      <w:r>
        <w:rPr>
          <w:i/>
        </w:rPr>
        <w:t>International Studies Review</w:t>
      </w:r>
      <w:r>
        <w:t>, Vol. 10, No. 2 (June, 2008), pp. 369-374</w:t>
      </w:r>
    </w:p>
  </w:footnote>
  <w:footnote w:id="29">
    <w:p w:rsidR="002B4254" w:rsidRDefault="002B4254">
      <w:pPr>
        <w:pStyle w:val="FootnoteText"/>
      </w:pPr>
      <w:r>
        <w:rPr>
          <w:rStyle w:val="FootnoteReference"/>
        </w:rPr>
        <w:footnoteRef/>
      </w:r>
      <w:r>
        <w:t xml:space="preserve"> Thomas De Waal, </w:t>
      </w:r>
      <w:r>
        <w:rPr>
          <w:i/>
        </w:rPr>
        <w:t>Black Garden: Armenia and Azerbaijan through Peace and War</w:t>
      </w:r>
      <w:r>
        <w:t>, New York University Press, 2003, p. 162</w:t>
      </w:r>
    </w:p>
  </w:footnote>
  <w:footnote w:id="30">
    <w:p w:rsidR="002B4254" w:rsidRDefault="002B4254">
      <w:pPr>
        <w:pStyle w:val="FootnoteText"/>
      </w:pPr>
      <w:r>
        <w:rPr>
          <w:rStyle w:val="FootnoteReference"/>
        </w:rPr>
        <w:footnoteRef/>
      </w:r>
      <w:r>
        <w:t xml:space="preserve"> Michael P.</w:t>
      </w:r>
      <w:r w:rsidRPr="007872F7">
        <w:t xml:space="preserve"> </w:t>
      </w:r>
      <w:r>
        <w:t xml:space="preserve">Croissant, </w:t>
      </w:r>
      <w:r>
        <w:rPr>
          <w:i/>
        </w:rPr>
        <w:t>The Armenia-Azerbaijan Conflict: Causes and Implications</w:t>
      </w:r>
      <w:r>
        <w:t>, Praeger, 1998, pp. 33-34</w:t>
      </w:r>
    </w:p>
  </w:footnote>
  <w:footnote w:id="31">
    <w:p w:rsidR="002B4254" w:rsidRDefault="002B4254">
      <w:pPr>
        <w:pStyle w:val="FootnoteText"/>
      </w:pPr>
      <w:r>
        <w:rPr>
          <w:rStyle w:val="FootnoteReference"/>
        </w:rPr>
        <w:footnoteRef/>
      </w:r>
      <w:r>
        <w:t xml:space="preserve"> Dov Lynch, “Separatist States and Post-Soviet Conflicts,” </w:t>
      </w:r>
      <w:r>
        <w:rPr>
          <w:i/>
        </w:rPr>
        <w:t>International Affairs</w:t>
      </w:r>
      <w:r>
        <w:t>, Vol. 78, No. 4 (Oct. 2002), pp. 836-837</w:t>
      </w:r>
    </w:p>
  </w:footnote>
  <w:footnote w:id="32">
    <w:p w:rsidR="002B4254" w:rsidRDefault="002B4254">
      <w:pPr>
        <w:pStyle w:val="FootnoteText"/>
      </w:pPr>
      <w:r>
        <w:rPr>
          <w:rStyle w:val="FootnoteReference"/>
        </w:rPr>
        <w:footnoteRef/>
      </w:r>
      <w:r>
        <w:t xml:space="preserve"> </w:t>
      </w:r>
      <w:r w:rsidRPr="00CC6485">
        <w:t>Kolstø</w:t>
      </w:r>
      <w:r>
        <w:t xml:space="preserve"> and </w:t>
      </w:r>
      <w:r w:rsidRPr="00CC6485">
        <w:t>Blakkisrud</w:t>
      </w:r>
      <w:r>
        <w:t>, “Living with Non-Recognition,” pp. 488-490</w:t>
      </w:r>
    </w:p>
  </w:footnote>
  <w:footnote w:id="33">
    <w:p w:rsidR="002B4254" w:rsidRDefault="002B4254">
      <w:pPr>
        <w:pStyle w:val="FootnoteText"/>
      </w:pPr>
      <w:r>
        <w:rPr>
          <w:rStyle w:val="FootnoteReference"/>
        </w:rPr>
        <w:footnoteRef/>
      </w:r>
      <w:r>
        <w:t xml:space="preserve"> Stephen L.</w:t>
      </w:r>
      <w:r w:rsidRPr="007872F7">
        <w:t xml:space="preserve"> </w:t>
      </w:r>
      <w:r>
        <w:t xml:space="preserve">Burg and Paul S. Shoup, </w:t>
      </w:r>
      <w:r>
        <w:rPr>
          <w:i/>
        </w:rPr>
        <w:t>The War in Bosnia-Herzegovina: Ethnic Conflict and International Intervention</w:t>
      </w:r>
      <w:r>
        <w:t>, M.E. Sharp, 1999, pp. 191-194</w:t>
      </w:r>
    </w:p>
  </w:footnote>
  <w:footnote w:id="34">
    <w:p w:rsidR="002B4254" w:rsidRPr="00D02628" w:rsidRDefault="002B4254">
      <w:pPr>
        <w:pStyle w:val="FootnoteText"/>
      </w:pPr>
      <w:r>
        <w:rPr>
          <w:rStyle w:val="FootnoteReference"/>
        </w:rPr>
        <w:footnoteRef/>
      </w:r>
      <w:r>
        <w:t xml:space="preserve"> Christia, </w:t>
      </w:r>
      <w:r>
        <w:rPr>
          <w:i/>
        </w:rPr>
        <w:t>Alliance Formation in Civil Wars</w:t>
      </w:r>
      <w:r>
        <w:t>, pp. 153-165; Bosnian Serb forces were better able to consolidate their gains after tensions between Bosnian Croats and Bosniaks became inflamed.</w:t>
      </w:r>
    </w:p>
  </w:footnote>
  <w:footnote w:id="35">
    <w:p w:rsidR="002B4254" w:rsidRDefault="002B4254">
      <w:pPr>
        <w:pStyle w:val="FootnoteText"/>
      </w:pPr>
      <w:r>
        <w:rPr>
          <w:rStyle w:val="FootnoteReference"/>
        </w:rPr>
        <w:footnoteRef/>
      </w:r>
      <w:r>
        <w:t xml:space="preserve"> Jane M.O.</w:t>
      </w:r>
      <w:r w:rsidRPr="007872F7">
        <w:t xml:space="preserve"> </w:t>
      </w:r>
      <w:r>
        <w:t xml:space="preserve">Sharp, “Doing Better on Bosnia: Enforce the Law, Protect the Rights,” </w:t>
      </w:r>
      <w:r>
        <w:rPr>
          <w:i/>
        </w:rPr>
        <w:t>The World Today</w:t>
      </w:r>
      <w:r>
        <w:t>, Vol. 53, No. 2, p. 38</w:t>
      </w:r>
    </w:p>
  </w:footnote>
  <w:footnote w:id="36">
    <w:p w:rsidR="002B4254" w:rsidRDefault="002B4254">
      <w:pPr>
        <w:pStyle w:val="FootnoteText"/>
      </w:pPr>
      <w:r>
        <w:rPr>
          <w:rStyle w:val="FootnoteReference"/>
        </w:rPr>
        <w:footnoteRef/>
      </w:r>
      <w:r>
        <w:t xml:space="preserve"> David Chandler, </w:t>
      </w:r>
      <w:r>
        <w:rPr>
          <w:i/>
        </w:rPr>
        <w:t>Bosnia: Faking Democracy After Dayton</w:t>
      </w:r>
      <w:r>
        <w:t>, Pluto Press, 2000, p. 29</w:t>
      </w:r>
    </w:p>
  </w:footnote>
  <w:footnote w:id="37">
    <w:p w:rsidR="002B4254" w:rsidRPr="001B63C4" w:rsidRDefault="002B4254">
      <w:pPr>
        <w:pStyle w:val="FootnoteText"/>
      </w:pPr>
      <w:r>
        <w:rPr>
          <w:rStyle w:val="FootnoteReference"/>
        </w:rPr>
        <w:footnoteRef/>
      </w:r>
      <w:r>
        <w:t xml:space="preserve"> These were mostly related to advocating for religious education (see: Anto Kne</w:t>
      </w:r>
      <w:r w:rsidRPr="001B63C4">
        <w:rPr>
          <w:bCs/>
        </w:rPr>
        <w:t>ž</w:t>
      </w:r>
      <w:r>
        <w:rPr>
          <w:bCs/>
        </w:rPr>
        <w:t>evi</w:t>
      </w:r>
      <w:r w:rsidRPr="001B63C4">
        <w:rPr>
          <w:bCs/>
        </w:rPr>
        <w:t>č</w:t>
      </w:r>
      <w:r>
        <w:rPr>
          <w:bCs/>
        </w:rPr>
        <w:t xml:space="preserve">, “Alija Izetbegovic’s ‘Islamic Declaration’: Its Substance and its Western Reception,” </w:t>
      </w:r>
      <w:r>
        <w:rPr>
          <w:bCs/>
          <w:i/>
        </w:rPr>
        <w:t>Islamic Studies</w:t>
      </w:r>
      <w:r>
        <w:rPr>
          <w:bCs/>
        </w:rPr>
        <w:t>, Vol. 36, No. 2/3 (Summer/Autumn 1997), pp. 483-521</w:t>
      </w:r>
    </w:p>
  </w:footnote>
  <w:footnote w:id="38">
    <w:p w:rsidR="002B4254" w:rsidRPr="00F16F3B" w:rsidRDefault="002B4254">
      <w:pPr>
        <w:pStyle w:val="FootnoteText"/>
      </w:pPr>
      <w:r>
        <w:rPr>
          <w:rStyle w:val="FootnoteReference"/>
        </w:rPr>
        <w:footnoteRef/>
      </w:r>
      <w:r>
        <w:t xml:space="preserve"> Martin Smith, </w:t>
      </w:r>
      <w:r>
        <w:rPr>
          <w:i/>
        </w:rPr>
        <w:t>Burma: Insurgency and the Politics of Ethnicity</w:t>
      </w:r>
      <w:r>
        <w:t>, Zed Books Ltd., 1999, pp. 27-29</w:t>
      </w:r>
    </w:p>
  </w:footnote>
  <w:footnote w:id="39">
    <w:p w:rsidR="002B4254" w:rsidRDefault="002B4254">
      <w:pPr>
        <w:pStyle w:val="FootnoteText"/>
      </w:pPr>
      <w:r>
        <w:rPr>
          <w:rStyle w:val="FootnoteReference"/>
        </w:rPr>
        <w:footnoteRef/>
      </w:r>
      <w:r>
        <w:t xml:space="preserve"> Violence from national liberation fronts would constitute their own civil war beginning in 1960, but their development began during the British period.</w:t>
      </w:r>
    </w:p>
  </w:footnote>
  <w:footnote w:id="40">
    <w:p w:rsidR="002B4254" w:rsidRDefault="002B4254">
      <w:pPr>
        <w:pStyle w:val="FootnoteText"/>
      </w:pPr>
      <w:r>
        <w:rPr>
          <w:rStyle w:val="FootnoteReference"/>
        </w:rPr>
        <w:footnoteRef/>
      </w:r>
      <w:r>
        <w:t xml:space="preserve"> Ibid. pp. 102-109</w:t>
      </w:r>
    </w:p>
  </w:footnote>
  <w:footnote w:id="41">
    <w:p w:rsidR="002B4254" w:rsidRDefault="002B4254">
      <w:pPr>
        <w:pStyle w:val="FootnoteText"/>
      </w:pPr>
      <w:r>
        <w:rPr>
          <w:rStyle w:val="FootnoteReference"/>
        </w:rPr>
        <w:footnoteRef/>
      </w:r>
      <w:r>
        <w:t xml:space="preserve"> </w:t>
      </w:r>
      <w:r w:rsidRPr="00B27C6F">
        <w:rPr>
          <w:rFonts w:cstheme="minorHAnsi"/>
        </w:rPr>
        <w:t xml:space="preserve">Zachariah Cherian Mampilly, “Stationary Bandits: Understanding Rebel Governance,” UCLA, 2007, (dissertation) </w:t>
      </w:r>
      <w:hyperlink r:id="rId1">
        <w:r w:rsidRPr="00B27C6F">
          <w:rPr>
            <w:rFonts w:cstheme="minorHAnsi"/>
            <w:color w:val="0563C1"/>
            <w:u w:val="single" w:color="0563C1"/>
          </w:rPr>
          <w:t>http://pages.vassar.edu/mampilly/files/2013/11/Mampilly</w:t>
        </w:r>
      </w:hyperlink>
      <w:hyperlink r:id="rId2">
        <w:r w:rsidRPr="00B27C6F">
          <w:rPr>
            <w:rFonts w:cstheme="minorHAnsi"/>
            <w:color w:val="0563C1"/>
            <w:u w:val="single" w:color="0563C1"/>
          </w:rPr>
          <w:t>-</w:t>
        </w:r>
      </w:hyperlink>
      <w:hyperlink r:id="rId3">
        <w:r w:rsidRPr="00B27C6F">
          <w:rPr>
            <w:rFonts w:cstheme="minorHAnsi"/>
            <w:color w:val="0563C1"/>
            <w:u w:val="single" w:color="0563C1"/>
          </w:rPr>
          <w:t>Dissertation</w:t>
        </w:r>
      </w:hyperlink>
      <w:hyperlink r:id="rId4">
        <w:r w:rsidRPr="00B27C6F">
          <w:rPr>
            <w:rFonts w:cstheme="minorHAnsi"/>
            <w:color w:val="0563C1"/>
            <w:u w:val="single" w:color="0563C1"/>
          </w:rPr>
          <w:t>-</w:t>
        </w:r>
      </w:hyperlink>
      <w:hyperlink r:id="rId5">
        <w:r w:rsidRPr="00B27C6F">
          <w:rPr>
            <w:rFonts w:cstheme="minorHAnsi"/>
            <w:color w:val="0563C1"/>
            <w:u w:val="single" w:color="0563C1"/>
          </w:rPr>
          <w:t>Final.pdf</w:t>
        </w:r>
      </w:hyperlink>
      <w:hyperlink r:id="rId6">
        <w:r w:rsidRPr="00B27C6F">
          <w:rPr>
            <w:rFonts w:cstheme="minorHAnsi"/>
          </w:rPr>
          <w:t xml:space="preserve"> </w:t>
        </w:r>
      </w:hyperlink>
      <w:r w:rsidRPr="00B27C6F">
        <w:rPr>
          <w:rFonts w:cstheme="minorHAnsi"/>
        </w:rPr>
        <w:t>(accessed March 19, 201</w:t>
      </w:r>
      <w:r>
        <w:rPr>
          <w:rFonts w:cstheme="minorHAnsi"/>
        </w:rPr>
        <w:t xml:space="preserve">6), </w:t>
      </w:r>
      <w:r>
        <w:t>p. 100</w:t>
      </w:r>
    </w:p>
  </w:footnote>
  <w:footnote w:id="42">
    <w:p w:rsidR="002B4254" w:rsidRDefault="002B4254">
      <w:pPr>
        <w:pStyle w:val="FootnoteText"/>
      </w:pPr>
      <w:r>
        <w:rPr>
          <w:rStyle w:val="FootnoteReference"/>
        </w:rPr>
        <w:footnoteRef/>
      </w:r>
      <w:r>
        <w:t xml:space="preserve"> Christina Fink, </w:t>
      </w:r>
      <w:r>
        <w:rPr>
          <w:i/>
        </w:rPr>
        <w:t>Living Silence: Burma under Military Rule</w:t>
      </w:r>
      <w:r>
        <w:t>, Zed Books, 2001, pp. 46-47</w:t>
      </w:r>
    </w:p>
  </w:footnote>
  <w:footnote w:id="43">
    <w:p w:rsidR="002B4254" w:rsidRPr="00976A66" w:rsidRDefault="002B4254">
      <w:pPr>
        <w:pStyle w:val="FootnoteText"/>
      </w:pPr>
      <w:r>
        <w:rPr>
          <w:rStyle w:val="FootnoteReference"/>
        </w:rPr>
        <w:footnoteRef/>
      </w:r>
      <w:r>
        <w:t xml:space="preserve"> Zachariah Cherian Mampilly, </w:t>
      </w:r>
      <w:r>
        <w:rPr>
          <w:i/>
        </w:rPr>
        <w:t>Rebel Rulers: Insurgent Governance and Civilian Life During War</w:t>
      </w:r>
      <w:r>
        <w:t>, Cornell University Press, 2011, p. 217</w:t>
      </w:r>
    </w:p>
  </w:footnote>
  <w:footnote w:id="44">
    <w:p w:rsidR="002B4254" w:rsidRDefault="002B4254" w:rsidP="00976A66">
      <w:pPr>
        <w:pStyle w:val="FootnoteText"/>
      </w:pPr>
      <w:r>
        <w:rPr>
          <w:rStyle w:val="FootnoteReference"/>
        </w:rPr>
        <w:footnoteRef/>
      </w:r>
      <w:r>
        <w:t xml:space="preserve"> Fink, </w:t>
      </w:r>
      <w:r>
        <w:rPr>
          <w:i/>
        </w:rPr>
        <w:t>Living Silence</w:t>
      </w:r>
      <w:r>
        <w:t>, pp. 80-81</w:t>
      </w:r>
    </w:p>
  </w:footnote>
  <w:footnote w:id="45">
    <w:p w:rsidR="002B4254" w:rsidRDefault="002B4254">
      <w:pPr>
        <w:pStyle w:val="FootnoteText"/>
      </w:pPr>
      <w:r>
        <w:rPr>
          <w:rStyle w:val="FootnoteReference"/>
        </w:rPr>
        <w:footnoteRef/>
      </w:r>
      <w:r>
        <w:t xml:space="preserve"> Josef Silverstein, </w:t>
      </w:r>
      <w:r>
        <w:rPr>
          <w:i/>
        </w:rPr>
        <w:t>Burmese Politics: The Dilemma of National Unity</w:t>
      </w:r>
      <w:r>
        <w:t>, Rutgers University Press, 1980, pp. 206-207</w:t>
      </w:r>
    </w:p>
  </w:footnote>
  <w:footnote w:id="46">
    <w:p w:rsidR="002B4254" w:rsidRDefault="002B4254">
      <w:pPr>
        <w:pStyle w:val="FootnoteText"/>
      </w:pPr>
      <w:r>
        <w:rPr>
          <w:rStyle w:val="FootnoteReference"/>
        </w:rPr>
        <w:footnoteRef/>
      </w:r>
      <w:r>
        <w:t xml:space="preserve"> Mampilly, “Stationary Bandits,” pp. 80-83</w:t>
      </w:r>
    </w:p>
  </w:footnote>
  <w:footnote w:id="47">
    <w:p w:rsidR="002B4254" w:rsidRPr="00397329" w:rsidRDefault="002B4254">
      <w:pPr>
        <w:pStyle w:val="FootnoteText"/>
      </w:pPr>
      <w:r>
        <w:rPr>
          <w:rStyle w:val="FootnoteReference"/>
        </w:rPr>
        <w:footnoteRef/>
      </w:r>
      <w:r>
        <w:t xml:space="preserve"> Fink, </w:t>
      </w:r>
      <w:r>
        <w:rPr>
          <w:i/>
        </w:rPr>
        <w:t>Living Silence</w:t>
      </w:r>
      <w:r>
        <w:t>, pp. 48-49</w:t>
      </w:r>
    </w:p>
  </w:footnote>
  <w:footnote w:id="48">
    <w:p w:rsidR="002B4254" w:rsidRDefault="002B4254">
      <w:pPr>
        <w:pStyle w:val="FootnoteText"/>
      </w:pPr>
      <w:r>
        <w:rPr>
          <w:rStyle w:val="FootnoteReference"/>
        </w:rPr>
        <w:footnoteRef/>
      </w:r>
      <w:r>
        <w:t xml:space="preserve"> Monique Skidmore, “Contemporary medical pluralism in Burma,” </w:t>
      </w:r>
      <w:r>
        <w:rPr>
          <w:i/>
        </w:rPr>
        <w:t>Dictatorship, Disorder, and Decline in Myanmar</w:t>
      </w:r>
      <w:r>
        <w:t xml:space="preserve">, eds. Monique Skidmore and Trevor Wilson, ANU Press, 2008, 200-203; access to proper materials seems to have been especially difficult, even after the war. Thankfully, educational efforts appear to have had more of a carryover effect (see: Jasmin Lorch, “The (re)-emergence of civil society in areas of state weakness: the case of education in Burma/Myanmar,” </w:t>
      </w:r>
      <w:r>
        <w:rPr>
          <w:i/>
        </w:rPr>
        <w:t>Dictatorship, Disorder, and Decline in Myanmar</w:t>
      </w:r>
      <w:r>
        <w:t>, eds. Monique Skidmore and Trevor Wilson, ANU Press, 2008, pp. 168-169</w:t>
      </w:r>
    </w:p>
  </w:footnote>
  <w:footnote w:id="49">
    <w:p w:rsidR="002B4254" w:rsidRPr="00F8239A" w:rsidRDefault="002B4254">
      <w:pPr>
        <w:pStyle w:val="FootnoteText"/>
      </w:pPr>
      <w:r>
        <w:rPr>
          <w:rStyle w:val="FootnoteReference"/>
        </w:rPr>
        <w:footnoteRef/>
      </w:r>
      <w:r>
        <w:t xml:space="preserve"> Smith, </w:t>
      </w:r>
      <w:r>
        <w:rPr>
          <w:i/>
        </w:rPr>
        <w:t>Burma</w:t>
      </w:r>
      <w:r>
        <w:t>, pp. 322-354</w:t>
      </w:r>
    </w:p>
  </w:footnote>
  <w:footnote w:id="50">
    <w:p w:rsidR="002B4254" w:rsidRPr="00397329" w:rsidRDefault="002B4254">
      <w:pPr>
        <w:pStyle w:val="FootnoteText"/>
      </w:pPr>
      <w:r>
        <w:rPr>
          <w:rStyle w:val="FootnoteReference"/>
        </w:rPr>
        <w:footnoteRef/>
      </w:r>
      <w:r>
        <w:t xml:space="preserve"> Fink, </w:t>
      </w:r>
      <w:r>
        <w:rPr>
          <w:i/>
        </w:rPr>
        <w:t>Living Silence</w:t>
      </w:r>
      <w:r>
        <w:t>, pp. 61-63</w:t>
      </w:r>
    </w:p>
  </w:footnote>
  <w:footnote w:id="51">
    <w:p w:rsidR="002B4254" w:rsidRDefault="002B4254">
      <w:pPr>
        <w:pStyle w:val="FootnoteText"/>
      </w:pPr>
      <w:r>
        <w:rPr>
          <w:rStyle w:val="FootnoteReference"/>
        </w:rPr>
        <w:footnoteRef/>
      </w:r>
      <w:r>
        <w:t xml:space="preserve"> Smith, </w:t>
      </w:r>
      <w:r>
        <w:rPr>
          <w:i/>
        </w:rPr>
        <w:t>Burma</w:t>
      </w:r>
      <w:r>
        <w:t>, pp. 385-388, 412-419</w:t>
      </w:r>
    </w:p>
  </w:footnote>
  <w:footnote w:id="52">
    <w:p w:rsidR="002B4254" w:rsidRDefault="002B4254">
      <w:pPr>
        <w:pStyle w:val="FootnoteText"/>
      </w:pPr>
      <w:r>
        <w:rPr>
          <w:rStyle w:val="FootnoteReference"/>
        </w:rPr>
        <w:footnoteRef/>
      </w:r>
      <w:r>
        <w:t xml:space="preserve"> Paul Staniland, “</w:t>
      </w:r>
      <w:r w:rsidRPr="00F4325D">
        <w:t>States, Insurgents, and Wartime Political Orders</w:t>
      </w:r>
      <w:r>
        <w:t xml:space="preserve">,” </w:t>
      </w:r>
      <w:r>
        <w:rPr>
          <w:i/>
        </w:rPr>
        <w:t>Perspectives on Politics</w:t>
      </w:r>
      <w:r>
        <w:t>, Vol. 10, No. 2 (June, 2012), p. 249</w:t>
      </w:r>
    </w:p>
  </w:footnote>
  <w:footnote w:id="53">
    <w:p w:rsidR="002B4254" w:rsidRPr="00280566" w:rsidRDefault="002B4254">
      <w:pPr>
        <w:pStyle w:val="FootnoteText"/>
      </w:pPr>
      <w:r>
        <w:rPr>
          <w:rStyle w:val="FootnoteReference"/>
        </w:rPr>
        <w:footnoteRef/>
      </w:r>
      <w:r>
        <w:t xml:space="preserve"> “Burundi Profile – Timeline,” </w:t>
      </w:r>
      <w:r>
        <w:rPr>
          <w:i/>
        </w:rPr>
        <w:t>BBC News</w:t>
      </w:r>
      <w:r>
        <w:t xml:space="preserve">, 14 December 2016, </w:t>
      </w:r>
      <w:hyperlink r:id="rId7" w:history="1">
        <w:r w:rsidRPr="008A313F">
          <w:rPr>
            <w:rStyle w:val="Hyperlink"/>
          </w:rPr>
          <w:t>http://www.bbc.com/news/world-africa-13087604</w:t>
        </w:r>
      </w:hyperlink>
      <w:r>
        <w:t xml:space="preserve"> (accessed March 2, 2017)</w:t>
      </w:r>
    </w:p>
  </w:footnote>
  <w:footnote w:id="54">
    <w:p w:rsidR="002B4254" w:rsidRPr="00280566" w:rsidRDefault="002B4254">
      <w:pPr>
        <w:pStyle w:val="FootnoteText"/>
      </w:pPr>
      <w:r>
        <w:rPr>
          <w:rStyle w:val="FootnoteReference"/>
        </w:rPr>
        <w:footnoteRef/>
      </w:r>
      <w:r>
        <w:t xml:space="preserve"> Frank Chalk and Kurt Jonassohn, </w:t>
      </w:r>
      <w:r>
        <w:rPr>
          <w:i/>
        </w:rPr>
        <w:t>The History and Sociology of Genocide: Analyses and Case Studies</w:t>
      </w:r>
      <w:r>
        <w:t>, Yale University Press, 1990, pp. 384-393</w:t>
      </w:r>
    </w:p>
  </w:footnote>
  <w:footnote w:id="55">
    <w:p w:rsidR="002B4254" w:rsidRPr="00AF4651" w:rsidRDefault="002B4254">
      <w:pPr>
        <w:pStyle w:val="FootnoteText"/>
      </w:pPr>
      <w:r>
        <w:rPr>
          <w:rStyle w:val="FootnoteReference"/>
        </w:rPr>
        <w:footnoteRef/>
      </w:r>
      <w:r>
        <w:t xml:space="preserve"> René</w:t>
      </w:r>
      <w:r w:rsidRPr="004D6924">
        <w:t xml:space="preserve"> </w:t>
      </w:r>
      <w:r>
        <w:t xml:space="preserve">Lemarchand, “Burundi: the Killing Fields Revisited,” </w:t>
      </w:r>
      <w:r>
        <w:rPr>
          <w:i/>
        </w:rPr>
        <w:t>A Journal of Opinion</w:t>
      </w:r>
      <w:r>
        <w:t>, Vol. 18, No. 1 (Winter, 1989), pp. 22-28</w:t>
      </w:r>
    </w:p>
  </w:footnote>
  <w:footnote w:id="56">
    <w:p w:rsidR="002B4254" w:rsidRPr="00AF4651" w:rsidRDefault="002B4254">
      <w:pPr>
        <w:pStyle w:val="FootnoteText"/>
      </w:pPr>
      <w:r>
        <w:rPr>
          <w:rStyle w:val="FootnoteReference"/>
        </w:rPr>
        <w:footnoteRef/>
      </w:r>
      <w:r>
        <w:t xml:space="preserve"> Jean-Pierre Chrétien, “Burundi: Social Sciences Facing Ethnic Violence,” </w:t>
      </w:r>
      <w:r>
        <w:rPr>
          <w:i/>
        </w:rPr>
        <w:t>A Journal of Opinion</w:t>
      </w:r>
      <w:r>
        <w:t>, Vol. 19, No. 1 (Winter, 1990), pp. 38-40</w:t>
      </w:r>
    </w:p>
  </w:footnote>
  <w:footnote w:id="57">
    <w:p w:rsidR="002B4254" w:rsidRPr="004A3E9F" w:rsidRDefault="002B4254">
      <w:pPr>
        <w:pStyle w:val="FootnoteText"/>
      </w:pPr>
      <w:r>
        <w:rPr>
          <w:rStyle w:val="FootnoteReference"/>
        </w:rPr>
        <w:footnoteRef/>
      </w:r>
      <w:r>
        <w:t xml:space="preserve"> Thomas Owen</w:t>
      </w:r>
      <w:r w:rsidRPr="004D6924">
        <w:t xml:space="preserve"> </w:t>
      </w:r>
      <w:r>
        <w:t xml:space="preserve">Eiseman and John Schwille, “Primary Schooling in Burundi and Kenya: Preparation for Secondary Education or for Self-Employment?” </w:t>
      </w:r>
      <w:r>
        <w:rPr>
          <w:i/>
        </w:rPr>
        <w:t>The Elementary School Journal</w:t>
      </w:r>
      <w:r>
        <w:t>, Vol. 92, No. 1 (Sept. 1991), pp. 23-39</w:t>
      </w:r>
    </w:p>
  </w:footnote>
  <w:footnote w:id="58">
    <w:p w:rsidR="002B4254" w:rsidRDefault="002B4254">
      <w:pPr>
        <w:pStyle w:val="FootnoteText"/>
      </w:pPr>
      <w:r>
        <w:rPr>
          <w:rStyle w:val="FootnoteReference"/>
        </w:rPr>
        <w:footnoteRef/>
      </w:r>
      <w:r>
        <w:t xml:space="preserve"> Cyrus Samii, “Military Integration in Burundi, 2000-2006,” </w:t>
      </w:r>
      <w:r>
        <w:rPr>
          <w:i/>
        </w:rPr>
        <w:t>New Armies from Old: Merging Competing Military Forces after Civil Wars</w:t>
      </w:r>
      <w:r>
        <w:t>, ed. Roy Licklider, Georgetown University Press, 2014, pp. 214-215</w:t>
      </w:r>
    </w:p>
  </w:footnote>
  <w:footnote w:id="59">
    <w:p w:rsidR="002B4254" w:rsidRDefault="002B4254" w:rsidP="0006701A">
      <w:pPr>
        <w:pStyle w:val="FootnoteText"/>
      </w:pPr>
      <w:r>
        <w:rPr>
          <w:rStyle w:val="FootnoteReference"/>
        </w:rPr>
        <w:footnoteRef/>
      </w:r>
      <w:r>
        <w:t xml:space="preserve"> Rachel Sabates-Wheeler and Philip Verwimp, “Extortion with Protection: Understanding the effect</w:t>
      </w:r>
    </w:p>
    <w:p w:rsidR="002B4254" w:rsidRDefault="002B4254" w:rsidP="0006701A">
      <w:pPr>
        <w:pStyle w:val="FootnoteText"/>
      </w:pPr>
      <w:r>
        <w:t xml:space="preserve">of rebel taxation on civilian welfare in Burundi,” </w:t>
      </w:r>
      <w:r>
        <w:rPr>
          <w:i/>
        </w:rPr>
        <w:t>Households in Conflict Network</w:t>
      </w:r>
      <w:r>
        <w:t xml:space="preserve">, Working Paper 167, January 2014, </w:t>
      </w:r>
      <w:hyperlink r:id="rId8" w:history="1">
        <w:r w:rsidRPr="00A416B8">
          <w:rPr>
            <w:rStyle w:val="Hyperlink"/>
          </w:rPr>
          <w:t>http://www.hicn.org/wordpress/wp-content/uploads/2012/06/HiCN-WP-1671.pdf</w:t>
        </w:r>
      </w:hyperlink>
      <w:r>
        <w:t xml:space="preserve"> (accessed March 3, 2017), pp. 1-19</w:t>
      </w:r>
    </w:p>
  </w:footnote>
  <w:footnote w:id="60">
    <w:p w:rsidR="002B4254" w:rsidRDefault="002B4254">
      <w:pPr>
        <w:pStyle w:val="FootnoteText"/>
      </w:pPr>
      <w:r>
        <w:rPr>
          <w:rStyle w:val="FootnoteReference"/>
        </w:rPr>
        <w:footnoteRef/>
      </w:r>
      <w:r>
        <w:t xml:space="preserve"> Timothy Paul Longman, </w:t>
      </w:r>
      <w:r>
        <w:rPr>
          <w:i/>
        </w:rPr>
        <w:t>Proxy Targets: Civilians in the War in Burundi</w:t>
      </w:r>
      <w:r>
        <w:t xml:space="preserve"> (New York: Human Rights Watch, 1998), 17.</w:t>
      </w:r>
    </w:p>
  </w:footnote>
  <w:footnote w:id="61">
    <w:p w:rsidR="002B4254" w:rsidRDefault="002B4254">
      <w:pPr>
        <w:pStyle w:val="FootnoteText"/>
      </w:pPr>
      <w:r>
        <w:rPr>
          <w:rStyle w:val="FootnoteReference"/>
        </w:rPr>
        <w:footnoteRef/>
      </w:r>
      <w:r>
        <w:t xml:space="preserve"> Jeremy Speight and Katrin Wittig, “Pathways from Rebellion: Rebel-Party Configurations in </w:t>
      </w:r>
      <w:r w:rsidRPr="007F52B2">
        <w:t>Côte d'Ivoire</w:t>
      </w:r>
      <w:r>
        <w:t xml:space="preserve"> and Burundi,” </w:t>
      </w:r>
      <w:r>
        <w:rPr>
          <w:i/>
        </w:rPr>
        <w:t>African Affairs</w:t>
      </w:r>
      <w:r>
        <w:t xml:space="preserve"> 117, No. 466, 38.</w:t>
      </w:r>
    </w:p>
  </w:footnote>
  <w:footnote w:id="62">
    <w:p w:rsidR="002B4254" w:rsidRDefault="002B4254">
      <w:pPr>
        <w:pStyle w:val="FootnoteText"/>
      </w:pPr>
      <w:r>
        <w:rPr>
          <w:rStyle w:val="FootnoteReference"/>
        </w:rPr>
        <w:footnoteRef/>
      </w:r>
      <w:r>
        <w:t xml:space="preserve"> Cara Eugenia Jones, “Giving up the Gun: Rebel to Ruler Tranformations in Africa’s Great Lakes Region,” PhD Diss. University of Florida, 2013. 269-272</w:t>
      </w:r>
    </w:p>
  </w:footnote>
  <w:footnote w:id="63">
    <w:p w:rsidR="002B4254" w:rsidRDefault="002B4254">
      <w:pPr>
        <w:pStyle w:val="FootnoteText"/>
      </w:pPr>
      <w:r>
        <w:rPr>
          <w:rStyle w:val="FootnoteReference"/>
        </w:rPr>
        <w:footnoteRef/>
      </w:r>
      <w:r>
        <w:t xml:space="preserve"> Willy Nindorera, “Burundi: The Deficient Transformation of the CNDD-FDD,” </w:t>
      </w:r>
      <w:r>
        <w:rPr>
          <w:i/>
        </w:rPr>
        <w:t>From Soldiers to Politicians: Transforming Rebel Movements After Civil War</w:t>
      </w:r>
      <w:r>
        <w:t>, ed. Jeroen de Zeeuw, Lynne Rienner, 2008, pp. 103-108</w:t>
      </w:r>
    </w:p>
  </w:footnote>
  <w:footnote w:id="64">
    <w:p w:rsidR="002B4254" w:rsidRDefault="002B4254">
      <w:pPr>
        <w:pStyle w:val="FootnoteText"/>
      </w:pPr>
      <w:r>
        <w:rPr>
          <w:rStyle w:val="FootnoteReference"/>
        </w:rPr>
        <w:footnoteRef/>
      </w:r>
      <w:r>
        <w:t xml:space="preserve"> Ibid. pp. 107-109</w:t>
      </w:r>
    </w:p>
  </w:footnote>
  <w:footnote w:id="65">
    <w:p w:rsidR="002B4254" w:rsidRDefault="002B4254">
      <w:pPr>
        <w:pStyle w:val="FootnoteText"/>
      </w:pPr>
      <w:r>
        <w:rPr>
          <w:rStyle w:val="FootnoteReference"/>
        </w:rPr>
        <w:footnoteRef/>
      </w:r>
      <w:r>
        <w:t xml:space="preserve"> Willy Nindorera, “The CNDD-FDD in Burundi: The path from armed to political struggle,” </w:t>
      </w:r>
      <w:r w:rsidRPr="00E26A6C">
        <w:rPr>
          <w:i/>
        </w:rPr>
        <w:t>Berghof Transitions Series</w:t>
      </w:r>
      <w:r>
        <w:t>, No, 10 (2012), 18.</w:t>
      </w:r>
    </w:p>
  </w:footnote>
  <w:footnote w:id="66">
    <w:p w:rsidR="002B4254" w:rsidRDefault="002B4254" w:rsidP="003334AD">
      <w:pPr>
        <w:pStyle w:val="FootnoteText"/>
      </w:pPr>
      <w:r>
        <w:rPr>
          <w:rStyle w:val="FootnoteReference"/>
        </w:rPr>
        <w:footnoteRef/>
      </w:r>
      <w:r>
        <w:t xml:space="preserve"> Sabates-Wheeler and Verwimp, “Extortion with Protection,” pp. 1-19</w:t>
      </w:r>
    </w:p>
  </w:footnote>
  <w:footnote w:id="67">
    <w:p w:rsidR="002B4254" w:rsidRDefault="002B4254">
      <w:pPr>
        <w:pStyle w:val="FootnoteText"/>
      </w:pPr>
      <w:r>
        <w:rPr>
          <w:rStyle w:val="FootnoteReference"/>
        </w:rPr>
        <w:footnoteRef/>
      </w:r>
      <w:r>
        <w:t xml:space="preserve"> Jones, “Giving Up the Gun,” 268-273.</w:t>
      </w:r>
    </w:p>
  </w:footnote>
  <w:footnote w:id="68">
    <w:p w:rsidR="002B4254" w:rsidRDefault="002B4254">
      <w:pPr>
        <w:pStyle w:val="FootnoteText"/>
      </w:pPr>
      <w:r>
        <w:rPr>
          <w:rStyle w:val="FootnoteReference"/>
        </w:rPr>
        <w:footnoteRef/>
      </w:r>
      <w:r>
        <w:t xml:space="preserve"> Nindorera, “The CNDD-FDD in Burundi,” 21-27.</w:t>
      </w:r>
    </w:p>
  </w:footnote>
  <w:footnote w:id="69">
    <w:p w:rsidR="002B4254" w:rsidRDefault="002B4254">
      <w:pPr>
        <w:pStyle w:val="FootnoteText"/>
      </w:pPr>
      <w:r>
        <w:rPr>
          <w:rStyle w:val="FootnoteReference"/>
        </w:rPr>
        <w:footnoteRef/>
      </w:r>
      <w:r>
        <w:t xml:space="preserve"> Samii, “Military Integration in Burundi,” pp. 218-220</w:t>
      </w:r>
    </w:p>
  </w:footnote>
  <w:footnote w:id="70">
    <w:p w:rsidR="002B4254" w:rsidRDefault="002B4254">
      <w:pPr>
        <w:pStyle w:val="FootnoteText"/>
      </w:pPr>
      <w:r>
        <w:rPr>
          <w:rStyle w:val="FootnoteReference"/>
        </w:rPr>
        <w:footnoteRef/>
      </w:r>
      <w:r>
        <w:t xml:space="preserve"> Ibid. pp. 213-225</w:t>
      </w:r>
    </w:p>
  </w:footnote>
  <w:footnote w:id="71">
    <w:p w:rsidR="002B4254" w:rsidRDefault="002B4254">
      <w:pPr>
        <w:pStyle w:val="FootnoteText"/>
      </w:pPr>
      <w:r>
        <w:rPr>
          <w:rStyle w:val="FootnoteReference"/>
        </w:rPr>
        <w:footnoteRef/>
      </w:r>
      <w:r>
        <w:t xml:space="preserve"> Nindorera, “Burundi,” pp. 108-109</w:t>
      </w:r>
    </w:p>
  </w:footnote>
  <w:footnote w:id="72">
    <w:p w:rsidR="002B4254" w:rsidRDefault="002B4254" w:rsidP="00EC08BB">
      <w:pPr>
        <w:pStyle w:val="FootnoteText"/>
      </w:pPr>
      <w:r>
        <w:rPr>
          <w:rStyle w:val="FootnoteReference"/>
        </w:rPr>
        <w:footnoteRef/>
      </w:r>
      <w:r>
        <w:t xml:space="preserve"> Pierre</w:t>
      </w:r>
      <w:r w:rsidRPr="004D6924">
        <w:t xml:space="preserve"> </w:t>
      </w:r>
      <w:r>
        <w:t xml:space="preserve">Nkurunziza, “Education as a Means of Conflict Resolution,” </w:t>
      </w:r>
      <w:r>
        <w:rPr>
          <w:i/>
        </w:rPr>
        <w:t>Even in Chaos: Education in Times of Emergency</w:t>
      </w:r>
      <w:r>
        <w:t>, ed. Kevin M. Cahill, Fordham University Press, 2010, pp. 61-64</w:t>
      </w:r>
    </w:p>
  </w:footnote>
  <w:footnote w:id="73">
    <w:p w:rsidR="002B4254" w:rsidRDefault="002B4254">
      <w:pPr>
        <w:pStyle w:val="FootnoteText"/>
      </w:pPr>
      <w:r>
        <w:rPr>
          <w:rStyle w:val="FootnoteReference"/>
        </w:rPr>
        <w:footnoteRef/>
      </w:r>
      <w:r>
        <w:t xml:space="preserve"> Sabates-Wheeler and Verwimp, “Extortion with Protection,” pp. 1-19</w:t>
      </w:r>
    </w:p>
  </w:footnote>
  <w:footnote w:id="74">
    <w:p w:rsidR="002B4254" w:rsidRDefault="002B4254">
      <w:pPr>
        <w:pStyle w:val="FootnoteText"/>
      </w:pPr>
      <w:r>
        <w:rPr>
          <w:rStyle w:val="FootnoteReference"/>
        </w:rPr>
        <w:footnoteRef/>
      </w:r>
      <w:r>
        <w:t xml:space="preserve"> MacAlister</w:t>
      </w:r>
      <w:r w:rsidRPr="004D6924">
        <w:t xml:space="preserve"> </w:t>
      </w:r>
      <w:r>
        <w:t xml:space="preserve">Brown and Joseph J. Zasloff, </w:t>
      </w:r>
      <w:r>
        <w:rPr>
          <w:i/>
        </w:rPr>
        <w:t>Cambodia Confounds the Peacemakers, 1979-1998</w:t>
      </w:r>
      <w:r>
        <w:t>, Cornell University Press, 1998, pp. 1-6, 19-24</w:t>
      </w:r>
    </w:p>
  </w:footnote>
  <w:footnote w:id="75">
    <w:p w:rsidR="002B4254" w:rsidRDefault="002B4254">
      <w:pPr>
        <w:pStyle w:val="FootnoteText"/>
      </w:pPr>
      <w:r>
        <w:rPr>
          <w:rStyle w:val="FootnoteReference"/>
        </w:rPr>
        <w:footnoteRef/>
      </w:r>
      <w:r>
        <w:t xml:space="preserve"> Ben Kiernan, “The Inclusion of the Khmer Rouge in the Cambodian Peace Process: Causes and Consequences,” </w:t>
      </w:r>
      <w:r>
        <w:rPr>
          <w:i/>
        </w:rPr>
        <w:t>Genocide and Democracy in Cambodia: The Khmer Rouge, the United Nations, and the International Community</w:t>
      </w:r>
      <w:r>
        <w:t>, ed. Ben Kiernan, Yale University Southeast Asia Studies, 1993, pp. 191-194</w:t>
      </w:r>
    </w:p>
  </w:footnote>
  <w:footnote w:id="76">
    <w:p w:rsidR="002B4254" w:rsidRPr="00050D67" w:rsidRDefault="002B4254">
      <w:pPr>
        <w:pStyle w:val="FootnoteText"/>
      </w:pPr>
      <w:r>
        <w:rPr>
          <w:rStyle w:val="FootnoteReference"/>
        </w:rPr>
        <w:footnoteRef/>
      </w:r>
      <w:r>
        <w:t xml:space="preserve"> Brown and Zasloff, </w:t>
      </w:r>
      <w:r>
        <w:rPr>
          <w:i/>
        </w:rPr>
        <w:t>Cambodia Confounds</w:t>
      </w:r>
      <w:r>
        <w:t>, pp. 24-30</w:t>
      </w:r>
    </w:p>
  </w:footnote>
  <w:footnote w:id="77">
    <w:p w:rsidR="002B4254" w:rsidRPr="008B2022" w:rsidRDefault="002B4254">
      <w:pPr>
        <w:pStyle w:val="FootnoteText"/>
      </w:pPr>
      <w:r>
        <w:rPr>
          <w:rStyle w:val="FootnoteReference"/>
        </w:rPr>
        <w:footnoteRef/>
      </w:r>
      <w:r>
        <w:t xml:space="preserve"> Abdulgaffar Peang-Meth, “</w:t>
      </w:r>
      <w:r w:rsidRPr="008B2022">
        <w:t>A Study of the Khmer People's National Liberation Front and the Coalition Government of Democratic Kampuchea</w:t>
      </w:r>
      <w:r>
        <w:t xml:space="preserve">,” </w:t>
      </w:r>
      <w:r>
        <w:rPr>
          <w:i/>
        </w:rPr>
        <w:t>Contemporary Southeast Asia</w:t>
      </w:r>
      <w:r>
        <w:t>, Vol. 12, No. 3 (Dec. 1990), pp. 172-185</w:t>
      </w:r>
    </w:p>
  </w:footnote>
  <w:footnote w:id="78">
    <w:p w:rsidR="002B4254" w:rsidRDefault="002B4254">
      <w:pPr>
        <w:pStyle w:val="FootnoteText"/>
      </w:pPr>
      <w:r>
        <w:rPr>
          <w:rStyle w:val="FootnoteReference"/>
        </w:rPr>
        <w:footnoteRef/>
      </w:r>
      <w:r>
        <w:t xml:space="preserve"> Frederick Z. Brown and Laura McGrew, “Cambodia: The Royal Government on Trial,” </w:t>
      </w:r>
      <w:r>
        <w:rPr>
          <w:i/>
        </w:rPr>
        <w:t>Southeast Asian Affairs</w:t>
      </w:r>
      <w:r>
        <w:t>, (1995), pp. 129-130; another issue arises when trying to determine exactly when these facilities were open.</w:t>
      </w:r>
    </w:p>
  </w:footnote>
  <w:footnote w:id="79">
    <w:p w:rsidR="002B4254" w:rsidRDefault="002B4254">
      <w:pPr>
        <w:pStyle w:val="FootnoteText"/>
      </w:pPr>
      <w:r>
        <w:rPr>
          <w:rStyle w:val="FootnoteReference"/>
        </w:rPr>
        <w:footnoteRef/>
      </w:r>
      <w:r>
        <w:t xml:space="preserve"> Michael Vickery, </w:t>
      </w:r>
      <w:r>
        <w:rPr>
          <w:i/>
        </w:rPr>
        <w:t>Cambodia: 1975-1982</w:t>
      </w:r>
      <w:r>
        <w:t xml:space="preserve"> (Boston, MA: South End Press, 1984), 250-252.</w:t>
      </w:r>
    </w:p>
  </w:footnote>
  <w:footnote w:id="80">
    <w:p w:rsidR="002B4254" w:rsidRDefault="002B4254" w:rsidP="007B0863">
      <w:pPr>
        <w:pStyle w:val="FootnoteText"/>
      </w:pPr>
      <w:r>
        <w:rPr>
          <w:rStyle w:val="FootnoteReference"/>
        </w:rPr>
        <w:footnoteRef/>
      </w:r>
      <w:r>
        <w:t xml:space="preserve"> Margaret Slocomb, </w:t>
      </w:r>
      <w:r>
        <w:rPr>
          <w:i/>
        </w:rPr>
        <w:t>The People’s Republic of Kampuchea, 1979-1989: The Revolution After Pol Pot</w:t>
      </w:r>
      <w:r>
        <w:t xml:space="preserve"> (Bangkok: Silkworm Books, 2003), 151-160.</w:t>
      </w:r>
    </w:p>
  </w:footnote>
  <w:footnote w:id="81">
    <w:p w:rsidR="002B4254" w:rsidRDefault="002B4254" w:rsidP="007B0863">
      <w:pPr>
        <w:pStyle w:val="FootnoteText"/>
      </w:pPr>
      <w:r>
        <w:rPr>
          <w:rStyle w:val="FootnoteReference"/>
        </w:rPr>
        <w:footnoteRef/>
      </w:r>
      <w:r>
        <w:t xml:space="preserve"> “Political Control, Human Rights, and the UN Mission in Cambodia,” Asia Watch, September (New York: Human Rights Watch, 1992), 31-33.</w:t>
      </w:r>
    </w:p>
  </w:footnote>
  <w:footnote w:id="82">
    <w:p w:rsidR="002B4254" w:rsidRDefault="002B4254">
      <w:pPr>
        <w:pStyle w:val="FootnoteText"/>
      </w:pPr>
      <w:r>
        <w:rPr>
          <w:rStyle w:val="FootnoteReference"/>
        </w:rPr>
        <w:footnoteRef/>
      </w:r>
      <w:r>
        <w:t xml:space="preserve"> Ibid. 39-40.</w:t>
      </w:r>
    </w:p>
  </w:footnote>
  <w:footnote w:id="83">
    <w:p w:rsidR="002B4254" w:rsidRDefault="002B4254">
      <w:pPr>
        <w:pStyle w:val="FootnoteText"/>
      </w:pPr>
      <w:r>
        <w:rPr>
          <w:rStyle w:val="FootnoteReference"/>
        </w:rPr>
        <w:footnoteRef/>
      </w:r>
      <w:r>
        <w:t xml:space="preserve"> Brown and Zasloff, </w:t>
      </w:r>
      <w:r>
        <w:rPr>
          <w:i/>
        </w:rPr>
        <w:t>Cambodia Confounds the Peacemakers</w:t>
      </w:r>
      <w:r>
        <w:t>, 17-21.</w:t>
      </w:r>
    </w:p>
  </w:footnote>
  <w:footnote w:id="84">
    <w:p w:rsidR="002B4254" w:rsidRDefault="002B4254">
      <w:pPr>
        <w:pStyle w:val="FootnoteText"/>
      </w:pPr>
      <w:r>
        <w:rPr>
          <w:rStyle w:val="FootnoteReference"/>
        </w:rPr>
        <w:footnoteRef/>
      </w:r>
      <w:r>
        <w:t xml:space="preserve"> “Political Control, Human Rights, and the UN Mission in Cambodia,” 40.</w:t>
      </w:r>
    </w:p>
  </w:footnote>
  <w:footnote w:id="85">
    <w:p w:rsidR="002B4254" w:rsidRDefault="002B4254">
      <w:pPr>
        <w:pStyle w:val="FootnoteText"/>
      </w:pPr>
      <w:r>
        <w:rPr>
          <w:rStyle w:val="FootnoteReference"/>
        </w:rPr>
        <w:footnoteRef/>
      </w:r>
      <w:r>
        <w:t xml:space="preserve"> Ibid. 31-33.</w:t>
      </w:r>
    </w:p>
  </w:footnote>
  <w:footnote w:id="86">
    <w:p w:rsidR="002B4254" w:rsidRDefault="002B4254">
      <w:pPr>
        <w:pStyle w:val="FootnoteText"/>
      </w:pPr>
      <w:r>
        <w:rPr>
          <w:rStyle w:val="FootnoteReference"/>
        </w:rPr>
        <w:footnoteRef/>
      </w:r>
      <w:r>
        <w:t xml:space="preserve"> Lawyers Committee for Human Rights, </w:t>
      </w:r>
      <w:r>
        <w:rPr>
          <w:i/>
        </w:rPr>
        <w:t>Kampuchea: After the Worst</w:t>
      </w:r>
      <w:r>
        <w:t xml:space="preserve"> (New York: Lawyers Committee for Human Rights, 1985), 181-197; it appears that a source of DK displeasure with the elected administrators may have been that their tolerance of dissent confounded efforts to control the population.</w:t>
      </w:r>
    </w:p>
  </w:footnote>
  <w:footnote w:id="87">
    <w:p w:rsidR="002B4254" w:rsidRDefault="002B4254">
      <w:pPr>
        <w:pStyle w:val="FootnoteText"/>
      </w:pPr>
      <w:r>
        <w:rPr>
          <w:rStyle w:val="FootnoteReference"/>
        </w:rPr>
        <w:footnoteRef/>
      </w:r>
      <w:r>
        <w:t xml:space="preserve"> Ibid. 219-221</w:t>
      </w:r>
    </w:p>
  </w:footnote>
  <w:footnote w:id="88">
    <w:p w:rsidR="002B4254" w:rsidRDefault="002B4254">
      <w:pPr>
        <w:pStyle w:val="FootnoteText"/>
      </w:pPr>
      <w:r>
        <w:rPr>
          <w:rStyle w:val="FootnoteReference"/>
        </w:rPr>
        <w:footnoteRef/>
      </w:r>
      <w:r>
        <w:t xml:space="preserve"> Ibid. 224-225, 237-250</w:t>
      </w:r>
    </w:p>
  </w:footnote>
  <w:footnote w:id="89">
    <w:p w:rsidR="002B4254" w:rsidRDefault="002B4254">
      <w:pPr>
        <w:pStyle w:val="FootnoteText"/>
      </w:pPr>
      <w:r>
        <w:rPr>
          <w:rStyle w:val="FootnoteReference"/>
        </w:rPr>
        <w:footnoteRef/>
      </w:r>
      <w:r>
        <w:t xml:space="preserve"> “Political Control, Human Rights, and the UN Mission in Cambodia,” 24.</w:t>
      </w:r>
    </w:p>
  </w:footnote>
  <w:footnote w:id="90">
    <w:p w:rsidR="002B4254" w:rsidRDefault="002B4254">
      <w:pPr>
        <w:pStyle w:val="FootnoteText"/>
      </w:pPr>
      <w:r>
        <w:rPr>
          <w:rStyle w:val="FootnoteReference"/>
        </w:rPr>
        <w:footnoteRef/>
      </w:r>
      <w:r>
        <w:t xml:space="preserve"> “Chad,” </w:t>
      </w:r>
      <w:r w:rsidRPr="00431C93">
        <w:t xml:space="preserve">Uppsala Conflict Data Program (Date of retrieval: </w:t>
      </w:r>
      <w:r>
        <w:t>17</w:t>
      </w:r>
      <w:r w:rsidRPr="00431C93">
        <w:t>/</w:t>
      </w:r>
      <w:r>
        <w:t>03</w:t>
      </w:r>
      <w:r w:rsidRPr="00431C93">
        <w:t>/</w:t>
      </w:r>
      <w:r>
        <w:t>29</w:t>
      </w:r>
      <w:r w:rsidRPr="00431C93">
        <w:t xml:space="preserve">) </w:t>
      </w:r>
      <w:r w:rsidRPr="00790302">
        <w:rPr>
          <w:i/>
        </w:rPr>
        <w:t>UCDP Conflict Encyclopedia</w:t>
      </w:r>
      <w:r w:rsidRPr="00431C93">
        <w:t xml:space="preserve">: </w:t>
      </w:r>
      <w:hyperlink r:id="rId9" w:anchor="country/483" w:history="1">
        <w:r w:rsidRPr="00E96A63">
          <w:rPr>
            <w:rStyle w:val="Hyperlink"/>
          </w:rPr>
          <w:t>www.ucdp.uu.se/#country/483</w:t>
        </w:r>
      </w:hyperlink>
      <w:r>
        <w:t xml:space="preserve"> </w:t>
      </w:r>
      <w:r w:rsidRPr="00431C93">
        <w:t>, Uppsala University</w:t>
      </w:r>
      <w:r>
        <w:t xml:space="preserve">  </w:t>
      </w:r>
    </w:p>
  </w:footnote>
  <w:footnote w:id="91">
    <w:p w:rsidR="002B4254" w:rsidRPr="00210689" w:rsidRDefault="002B4254">
      <w:pPr>
        <w:pStyle w:val="FootnoteText"/>
      </w:pPr>
      <w:r>
        <w:rPr>
          <w:rStyle w:val="FootnoteReference"/>
        </w:rPr>
        <w:footnoteRef/>
      </w:r>
      <w:r>
        <w:t xml:space="preserve"> Sam C. Nolutshungu, </w:t>
      </w:r>
      <w:r>
        <w:rPr>
          <w:i/>
        </w:rPr>
        <w:t>Limits of Anarchy: Intervention and State Formation in Chad</w:t>
      </w:r>
      <w:r>
        <w:t>, University of Virginia Press, 1996, pp. 177-180, 268-273</w:t>
      </w:r>
    </w:p>
  </w:footnote>
  <w:footnote w:id="92">
    <w:p w:rsidR="002B4254" w:rsidRDefault="002B4254">
      <w:pPr>
        <w:pStyle w:val="FootnoteText"/>
      </w:pPr>
      <w:r>
        <w:rPr>
          <w:rStyle w:val="FootnoteReference"/>
        </w:rPr>
        <w:footnoteRef/>
      </w:r>
      <w:r>
        <w:t xml:space="preserve"> Mario J.</w:t>
      </w:r>
      <w:r w:rsidRPr="004D6924">
        <w:t xml:space="preserve"> </w:t>
      </w:r>
      <w:r>
        <w:t xml:space="preserve">Azevedo, </w:t>
      </w:r>
      <w:r>
        <w:rPr>
          <w:i/>
        </w:rPr>
        <w:t>Roots of Violence: A History of War in Chad</w:t>
      </w:r>
      <w:r>
        <w:t>, Gordon and Breach Publishers, 1998, pp. 129-131</w:t>
      </w:r>
    </w:p>
  </w:footnote>
  <w:footnote w:id="93">
    <w:p w:rsidR="002B4254" w:rsidRPr="002B20B5" w:rsidRDefault="002B4254">
      <w:pPr>
        <w:pStyle w:val="FootnoteText"/>
      </w:pPr>
      <w:r>
        <w:rPr>
          <w:rStyle w:val="FootnoteReference"/>
        </w:rPr>
        <w:footnoteRef/>
      </w:r>
      <w:r>
        <w:t xml:space="preserve"> This lack of control is not unique in Chadian government. Aside from local strong-men, control was not forthcoming, leading to a profound inversion of the role of violence in the state (see: Marielle Debos, “Living By the Gun in Chad: armed violence as a practical occupation,” </w:t>
      </w:r>
      <w:r>
        <w:rPr>
          <w:i/>
        </w:rPr>
        <w:t>Journal of Modern African Affairs</w:t>
      </w:r>
      <w:r>
        <w:t>, Vol. 49, No. 3 (Sept., 2011), pp. 409-428).</w:t>
      </w:r>
    </w:p>
  </w:footnote>
  <w:footnote w:id="94">
    <w:p w:rsidR="002B4254" w:rsidRDefault="002B4254">
      <w:pPr>
        <w:pStyle w:val="FootnoteText"/>
      </w:pPr>
      <w:r>
        <w:rPr>
          <w:rStyle w:val="FootnoteReference"/>
        </w:rPr>
        <w:footnoteRef/>
      </w:r>
      <w:r>
        <w:t xml:space="preserve"> Ali, S.</w:t>
      </w:r>
      <w:r w:rsidRPr="004D6924">
        <w:t xml:space="preserve"> </w:t>
      </w:r>
      <w:r>
        <w:t xml:space="preserve">Amjad, “War-Torn Chad—Cockpit of International Rivalry,” </w:t>
      </w:r>
      <w:r>
        <w:rPr>
          <w:i/>
        </w:rPr>
        <w:t>Pakistan Horizon</w:t>
      </w:r>
      <w:r>
        <w:t>, Vol. 37, No. 3 (Third Quarter, 1984), pp. 33-34</w:t>
      </w:r>
    </w:p>
  </w:footnote>
  <w:footnote w:id="95">
    <w:p w:rsidR="002B4254" w:rsidRDefault="002B4254">
      <w:pPr>
        <w:pStyle w:val="FootnoteText"/>
      </w:pPr>
      <w:r>
        <w:rPr>
          <w:rStyle w:val="FootnoteReference"/>
        </w:rPr>
        <w:footnoteRef/>
      </w:r>
      <w:r>
        <w:t xml:space="preserve"> Nolutshungu, </w:t>
      </w:r>
      <w:r>
        <w:rPr>
          <w:i/>
        </w:rPr>
        <w:t>Limits of Anarchy</w:t>
      </w:r>
      <w:r>
        <w:t>, pp. 186-193</w:t>
      </w:r>
    </w:p>
  </w:footnote>
  <w:footnote w:id="96">
    <w:p w:rsidR="002B4254" w:rsidRPr="005E1428" w:rsidRDefault="002B4254">
      <w:pPr>
        <w:pStyle w:val="FootnoteText"/>
      </w:pPr>
      <w:r>
        <w:rPr>
          <w:rStyle w:val="FootnoteReference"/>
        </w:rPr>
        <w:footnoteRef/>
      </w:r>
      <w:r>
        <w:t xml:space="preserve"> Acevedo, </w:t>
      </w:r>
      <w:r>
        <w:rPr>
          <w:i/>
        </w:rPr>
        <w:t>Roots of Violence</w:t>
      </w:r>
      <w:r>
        <w:t>, pp. 134-136</w:t>
      </w:r>
    </w:p>
  </w:footnote>
  <w:footnote w:id="97">
    <w:p w:rsidR="002B4254" w:rsidRDefault="002B4254">
      <w:pPr>
        <w:pStyle w:val="FootnoteText"/>
      </w:pPr>
      <w:r>
        <w:rPr>
          <w:rStyle w:val="FootnoteReference"/>
        </w:rPr>
        <w:footnoteRef/>
      </w:r>
      <w:r>
        <w:t xml:space="preserve"> William F. S. Miles, “Tragic Tradeoffs: Democracy and Security in Chad,” </w:t>
      </w:r>
      <w:r>
        <w:rPr>
          <w:i/>
        </w:rPr>
        <w:t>The Journal of Modern African Studies</w:t>
      </w:r>
      <w:r>
        <w:t>, Vol. 33, No. 1, (March, 1995), pp. 59-60</w:t>
      </w:r>
    </w:p>
  </w:footnote>
  <w:footnote w:id="98">
    <w:p w:rsidR="002B4254" w:rsidRDefault="002B4254">
      <w:pPr>
        <w:pStyle w:val="FootnoteText"/>
      </w:pPr>
      <w:r>
        <w:rPr>
          <w:rStyle w:val="FootnoteReference"/>
        </w:rPr>
        <w:footnoteRef/>
      </w:r>
      <w:r>
        <w:t xml:space="preserve"> It is noteworthy that such a task is still next to impossible given the inability to control Chad in its totality.</w:t>
      </w:r>
    </w:p>
  </w:footnote>
  <w:footnote w:id="99">
    <w:p w:rsidR="002B4254" w:rsidRDefault="002B4254">
      <w:pPr>
        <w:pStyle w:val="FootnoteText"/>
      </w:pPr>
      <w:r>
        <w:rPr>
          <w:rStyle w:val="FootnoteReference"/>
        </w:rPr>
        <w:footnoteRef/>
      </w:r>
      <w:r>
        <w:t xml:space="preserve"> Nolutshungu, </w:t>
      </w:r>
      <w:r>
        <w:rPr>
          <w:i/>
        </w:rPr>
        <w:t>Limits of Anarchy</w:t>
      </w:r>
      <w:r>
        <w:t>, pp. 290-291</w:t>
      </w:r>
    </w:p>
  </w:footnote>
  <w:footnote w:id="100">
    <w:p w:rsidR="002B4254" w:rsidRDefault="002B4254">
      <w:pPr>
        <w:pStyle w:val="FootnoteText"/>
      </w:pPr>
      <w:r>
        <w:rPr>
          <w:rStyle w:val="FootnoteReference"/>
        </w:rPr>
        <w:footnoteRef/>
      </w:r>
      <w:r>
        <w:t xml:space="preserve"> Miles, “Tragic Tradeoffs,” pp. 57-58</w:t>
      </w:r>
    </w:p>
  </w:footnote>
  <w:footnote w:id="101">
    <w:p w:rsidR="002B4254" w:rsidRDefault="002B4254">
      <w:pPr>
        <w:pStyle w:val="FootnoteText"/>
      </w:pPr>
      <w:r>
        <w:rPr>
          <w:rStyle w:val="FootnoteReference"/>
        </w:rPr>
        <w:footnoteRef/>
      </w:r>
      <w:r>
        <w:t xml:space="preserve"> Nolutshungu, </w:t>
      </w:r>
      <w:r>
        <w:rPr>
          <w:i/>
        </w:rPr>
        <w:t>Limits of Anarchy</w:t>
      </w:r>
      <w:r>
        <w:t>, pp. 251-253</w:t>
      </w:r>
    </w:p>
  </w:footnote>
  <w:footnote w:id="102">
    <w:p w:rsidR="002B4254" w:rsidRDefault="002B4254">
      <w:pPr>
        <w:pStyle w:val="FootnoteText"/>
      </w:pPr>
      <w:r>
        <w:rPr>
          <w:rStyle w:val="FootnoteReference"/>
        </w:rPr>
        <w:footnoteRef/>
      </w:r>
      <w:r>
        <w:t xml:space="preserve"> Pierre M.</w:t>
      </w:r>
      <w:r w:rsidRPr="004D6924">
        <w:t xml:space="preserve"> </w:t>
      </w:r>
      <w:r>
        <w:t>Atlas and Roy Licklider, “</w:t>
      </w:r>
      <w:r w:rsidRPr="005D2A77">
        <w:t>Conflict among Former Allies after Civil War Settlement: Sudan, Zimbabwe, Chad, and Lebanon</w:t>
      </w:r>
      <w:r>
        <w:t xml:space="preserve">,” </w:t>
      </w:r>
      <w:r>
        <w:rPr>
          <w:i/>
        </w:rPr>
        <w:t>Journal of Peace Research</w:t>
      </w:r>
      <w:r>
        <w:t>, Vol. 36, No. 1 (Jan. 1999), pp. 43-47</w:t>
      </w:r>
    </w:p>
  </w:footnote>
  <w:footnote w:id="103">
    <w:p w:rsidR="002B4254" w:rsidRDefault="002B4254">
      <w:pPr>
        <w:pStyle w:val="FootnoteText"/>
      </w:pPr>
      <w:r>
        <w:rPr>
          <w:rStyle w:val="FootnoteReference"/>
        </w:rPr>
        <w:footnoteRef/>
      </w:r>
      <w:r>
        <w:t xml:space="preserve"> Debos, “Living by the Gun,” pp. 420-422</w:t>
      </w:r>
    </w:p>
  </w:footnote>
  <w:footnote w:id="104">
    <w:p w:rsidR="002B4254" w:rsidRPr="005760E1" w:rsidRDefault="002B4254">
      <w:pPr>
        <w:pStyle w:val="FootnoteText"/>
      </w:pPr>
      <w:r>
        <w:rPr>
          <w:rStyle w:val="FootnoteReference"/>
        </w:rPr>
        <w:footnoteRef/>
      </w:r>
      <w:r>
        <w:t xml:space="preserve"> John F.</w:t>
      </w:r>
      <w:r w:rsidRPr="004D6924">
        <w:t xml:space="preserve"> </w:t>
      </w:r>
      <w:r>
        <w:t xml:space="preserve">Clark, “Foreign Intervention in the Civil War of the Congo Republic,” </w:t>
      </w:r>
      <w:r>
        <w:rPr>
          <w:i/>
        </w:rPr>
        <w:t>A Journal of Opinion</w:t>
      </w:r>
      <w:r>
        <w:t>, Vol. 26, No. 1 (1998), pp. 31-32</w:t>
      </w:r>
    </w:p>
  </w:footnote>
  <w:footnote w:id="105">
    <w:p w:rsidR="002B4254" w:rsidRDefault="002B4254">
      <w:pPr>
        <w:pStyle w:val="FootnoteText"/>
      </w:pPr>
      <w:r>
        <w:rPr>
          <w:rStyle w:val="FootnoteReference"/>
        </w:rPr>
        <w:footnoteRef/>
      </w:r>
      <w:r>
        <w:t xml:space="preserve"> G</w:t>
      </w:r>
      <w:r w:rsidRPr="00D12BA2">
        <w:t>é</w:t>
      </w:r>
      <w:r>
        <w:t>rard</w:t>
      </w:r>
      <w:r w:rsidRPr="004D6924">
        <w:t xml:space="preserve"> </w:t>
      </w:r>
      <w:r>
        <w:t xml:space="preserve">Prunier, </w:t>
      </w:r>
      <w:r>
        <w:rPr>
          <w:i/>
        </w:rPr>
        <w:t>From Genocide to Continental War: The ‘Congolese’ Conflict and the Crisis of Contemporary Africa</w:t>
      </w:r>
      <w:r>
        <w:t>, Hurst &amp; Company, 2009, pp. 110-111</w:t>
      </w:r>
    </w:p>
  </w:footnote>
  <w:footnote w:id="106">
    <w:p w:rsidR="002B4254" w:rsidRDefault="002B4254">
      <w:pPr>
        <w:pStyle w:val="FootnoteText"/>
      </w:pPr>
      <w:r>
        <w:rPr>
          <w:rStyle w:val="FootnoteReference"/>
        </w:rPr>
        <w:footnoteRef/>
      </w:r>
      <w:r>
        <w:t xml:space="preserve"> Pierre Englebert and James Ron, “Primary Commodities and War: Congo-Brazzaville’s Ambivalent Resource Curse,” </w:t>
      </w:r>
      <w:r>
        <w:rPr>
          <w:i/>
        </w:rPr>
        <w:t xml:space="preserve">Comparative </w:t>
      </w:r>
      <w:r w:rsidRPr="000164AB">
        <w:rPr>
          <w:i/>
        </w:rPr>
        <w:t>Politics</w:t>
      </w:r>
      <w:r>
        <w:t>, Vol. 37, No. 1 (Oct. 2004), p</w:t>
      </w:r>
      <w:r w:rsidRPr="000164AB">
        <w:t>p</w:t>
      </w:r>
      <w:r>
        <w:t>. 61-66</w:t>
      </w:r>
    </w:p>
  </w:footnote>
  <w:footnote w:id="107">
    <w:p w:rsidR="002B4254" w:rsidRDefault="002B4254">
      <w:pPr>
        <w:pStyle w:val="FootnoteText"/>
      </w:pPr>
      <w:r>
        <w:rPr>
          <w:rStyle w:val="FootnoteReference"/>
        </w:rPr>
        <w:footnoteRef/>
      </w:r>
      <w:r>
        <w:t xml:space="preserve"> There was some activity from civil society groups who were not aligned with the combatants (see: Patrice Yengo, “</w:t>
      </w:r>
      <w:r w:rsidRPr="001B01B0">
        <w:t>Brazzaville's Marché Total Women's Alliances during the Civil War in Congo</w:t>
      </w:r>
      <w:r>
        <w:t xml:space="preserve">,” </w:t>
      </w:r>
      <w:r>
        <w:rPr>
          <w:i/>
        </w:rPr>
        <w:t>Cahiers d’</w:t>
      </w:r>
      <w:r w:rsidRPr="001B01B0">
        <w:rPr>
          <w:i/>
        </w:rPr>
        <w:t xml:space="preserve">Études </w:t>
      </w:r>
      <w:r w:rsidRPr="001B01B0">
        <w:t>Africaines</w:t>
      </w:r>
      <w:r>
        <w:t xml:space="preserve">, Vol. 46, No. 182 (2006), </w:t>
      </w:r>
      <w:r w:rsidRPr="001B01B0">
        <w:t>pp</w:t>
      </w:r>
      <w:r>
        <w:t>. 341-344)</w:t>
      </w:r>
    </w:p>
  </w:footnote>
  <w:footnote w:id="108">
    <w:p w:rsidR="002B4254" w:rsidRDefault="002B4254" w:rsidP="00F22A61">
      <w:pPr>
        <w:pStyle w:val="FootnoteText"/>
      </w:pPr>
      <w:r>
        <w:rPr>
          <w:rStyle w:val="FootnoteReference"/>
        </w:rPr>
        <w:footnoteRef/>
      </w:r>
      <w:r>
        <w:t xml:space="preserve"> Rémy Bazenguissa-Ganga, “</w:t>
      </w:r>
      <w:r w:rsidRPr="00F22A61">
        <w:t>The Spread of Political Violence in Congo-Brazzaville</w:t>
      </w:r>
      <w:r>
        <w:t xml:space="preserve">” </w:t>
      </w:r>
      <w:r w:rsidRPr="00F22A61">
        <w:rPr>
          <w:i/>
        </w:rPr>
        <w:t>African Affairs</w:t>
      </w:r>
      <w:r w:rsidRPr="00F22A61">
        <w:t>, Vol. 98, No.</w:t>
      </w:r>
      <w:r>
        <w:t xml:space="preserve"> 390, (Jan. 1999), pp. 41-42</w:t>
      </w:r>
    </w:p>
  </w:footnote>
  <w:footnote w:id="109">
    <w:p w:rsidR="002B4254" w:rsidRDefault="002B4254">
      <w:pPr>
        <w:pStyle w:val="FootnoteText"/>
      </w:pPr>
      <w:r>
        <w:rPr>
          <w:rStyle w:val="FootnoteReference"/>
        </w:rPr>
        <w:footnoteRef/>
      </w:r>
      <w:r>
        <w:t xml:space="preserve"> I. William Zartman and Katharina R. Vogeli, “</w:t>
      </w:r>
      <w:r w:rsidRPr="008A40B9">
        <w:t>Prevention Gained and Prevention Lost: Collapse, Competition, and Coup in Congo</w:t>
      </w:r>
      <w:r>
        <w:t>,”</w:t>
      </w:r>
      <w:r w:rsidRPr="008A40B9">
        <w:t xml:space="preserve"> </w:t>
      </w:r>
      <w:r>
        <w:rPr>
          <w:i/>
        </w:rPr>
        <w:t>Opportunities Siezed, Opportunities Missed: Preventive Diplomacy in the Post-Cold War World</w:t>
      </w:r>
      <w:r>
        <w:t>, ed. Bruce W. Jentleson, Rowman &amp; Littlefield, 1999, pp. 277-279</w:t>
      </w:r>
    </w:p>
  </w:footnote>
  <w:footnote w:id="110">
    <w:p w:rsidR="002B4254" w:rsidRDefault="002B4254">
      <w:pPr>
        <w:pStyle w:val="FootnoteText"/>
      </w:pPr>
      <w:r>
        <w:rPr>
          <w:rStyle w:val="FootnoteReference"/>
        </w:rPr>
        <w:footnoteRef/>
      </w:r>
      <w:r>
        <w:t xml:space="preserve"> John F. Clark, “The Neo-Colonial Context of the Democratic Experiment of Congo-Brazzaville,” </w:t>
      </w:r>
      <w:r>
        <w:rPr>
          <w:i/>
        </w:rPr>
        <w:t>African Affairs</w:t>
      </w:r>
      <w:r>
        <w:t>, Vol. 101, No. 403 (Apr. 2002), pp. 173-174</w:t>
      </w:r>
    </w:p>
  </w:footnote>
  <w:footnote w:id="111">
    <w:p w:rsidR="002B4254" w:rsidRDefault="002B4254">
      <w:pPr>
        <w:pStyle w:val="FootnoteText"/>
      </w:pPr>
      <w:r>
        <w:rPr>
          <w:rStyle w:val="FootnoteReference"/>
        </w:rPr>
        <w:footnoteRef/>
      </w:r>
      <w:r>
        <w:t xml:space="preserve"> Englebert and Ron, “Congo’s Ambivalent Resource Curse,” p. 66 </w:t>
      </w:r>
    </w:p>
  </w:footnote>
  <w:footnote w:id="112">
    <w:p w:rsidR="002B4254" w:rsidRDefault="002B4254">
      <w:pPr>
        <w:pStyle w:val="FootnoteText"/>
      </w:pPr>
      <w:r>
        <w:rPr>
          <w:rStyle w:val="FootnoteReference"/>
        </w:rPr>
        <w:footnoteRef/>
      </w:r>
      <w:r>
        <w:t xml:space="preserve"> Clark, “Democratic Experiment,” pp. 175-176</w:t>
      </w:r>
    </w:p>
  </w:footnote>
  <w:footnote w:id="113">
    <w:p w:rsidR="002B4254" w:rsidRDefault="002B4254">
      <w:pPr>
        <w:pStyle w:val="FootnoteText"/>
      </w:pPr>
      <w:r>
        <w:rPr>
          <w:rStyle w:val="FootnoteReference"/>
        </w:rPr>
        <w:footnoteRef/>
      </w:r>
      <w:r>
        <w:t xml:space="preserve"> Clark, “Foreign Intervention,” pp. 32-35</w:t>
      </w:r>
    </w:p>
  </w:footnote>
  <w:footnote w:id="114">
    <w:p w:rsidR="002B4254" w:rsidRDefault="002B4254">
      <w:pPr>
        <w:pStyle w:val="FootnoteText"/>
      </w:pPr>
      <w:r>
        <w:rPr>
          <w:rStyle w:val="FootnoteReference"/>
        </w:rPr>
        <w:footnoteRef/>
      </w:r>
      <w:r>
        <w:t xml:space="preserve"> Bazenguissa-Ganga, “Political Violence in Congo-Brazzaville,” pp. 44-47</w:t>
      </w:r>
    </w:p>
  </w:footnote>
  <w:footnote w:id="115">
    <w:p w:rsidR="002B4254" w:rsidRDefault="002B4254">
      <w:pPr>
        <w:pStyle w:val="FootnoteText"/>
      </w:pPr>
      <w:r>
        <w:rPr>
          <w:rStyle w:val="FootnoteReference"/>
        </w:rPr>
        <w:footnoteRef/>
      </w:r>
      <w:r>
        <w:t xml:space="preserve"> Anne Sundberg, “The Struggle for Kingship: Moses or Messiah – Ethnic War and the Use of Ethnicity in the Process of Democratization in Congo-Brazzaville,” </w:t>
      </w:r>
      <w:r>
        <w:rPr>
          <w:i/>
        </w:rPr>
        <w:t>Ethnicity Kills?: The Poli</w:t>
      </w:r>
      <w:r w:rsidRPr="006B399A">
        <w:rPr>
          <w:i/>
        </w:rPr>
        <w:t>tics of War, Peace, and Ethnicity in SubSaharan Africa</w:t>
      </w:r>
      <w:r w:rsidRPr="006B399A">
        <w:t>, eds.</w:t>
      </w:r>
      <w:r>
        <w:rPr>
          <w:rFonts w:ascii="Arial" w:hAnsi="Arial" w:cs="Arial"/>
          <w:bCs/>
          <w:color w:val="333333"/>
          <w:sz w:val="22"/>
          <w:szCs w:val="22"/>
          <w:shd w:val="clear" w:color="auto" w:fill="FFFFFF"/>
        </w:rPr>
        <w:t xml:space="preserve"> </w:t>
      </w:r>
      <w:r w:rsidRPr="006B399A">
        <w:rPr>
          <w:bCs/>
        </w:rPr>
        <w:t>Braathen,</w:t>
      </w:r>
      <w:r>
        <w:rPr>
          <w:bCs/>
        </w:rPr>
        <w:t xml:space="preserve"> Einar,</w:t>
      </w:r>
      <w:r w:rsidRPr="006B399A">
        <w:rPr>
          <w:bCs/>
        </w:rPr>
        <w:t xml:space="preserve"> Morten Bøås,</w:t>
      </w:r>
      <w:r>
        <w:rPr>
          <w:bCs/>
        </w:rPr>
        <w:t xml:space="preserve"> and</w:t>
      </w:r>
      <w:r w:rsidRPr="006B399A">
        <w:rPr>
          <w:rFonts w:ascii="Arial" w:hAnsi="Arial" w:cs="Arial"/>
          <w:bCs/>
          <w:color w:val="333333"/>
          <w:sz w:val="22"/>
          <w:szCs w:val="22"/>
          <w:shd w:val="clear" w:color="auto" w:fill="FFFFFF"/>
        </w:rPr>
        <w:t xml:space="preserve"> </w:t>
      </w:r>
      <w:r w:rsidRPr="006B399A">
        <w:rPr>
          <w:bCs/>
        </w:rPr>
        <w:t>Gjermund Sæther</w:t>
      </w:r>
      <w:r>
        <w:rPr>
          <w:bCs/>
        </w:rPr>
        <w:t>, St. Martin’s Press, 2000,</w:t>
      </w:r>
      <w:r>
        <w:rPr>
          <w:b/>
          <w:bCs/>
        </w:rPr>
        <w:t xml:space="preserve"> </w:t>
      </w:r>
      <w:r>
        <w:t>pp. 96-101</w:t>
      </w:r>
    </w:p>
  </w:footnote>
  <w:footnote w:id="116">
    <w:p w:rsidR="002B4254" w:rsidRDefault="002B4254">
      <w:pPr>
        <w:pStyle w:val="FootnoteText"/>
      </w:pPr>
      <w:r>
        <w:rPr>
          <w:rStyle w:val="FootnoteReference"/>
        </w:rPr>
        <w:footnoteRef/>
      </w:r>
      <w:r>
        <w:t xml:space="preserve"> </w:t>
      </w:r>
      <w:r w:rsidRPr="00A81AC9">
        <w:t>Englebert and Ron, “Congo’s Am</w:t>
      </w:r>
      <w:r>
        <w:t>bivalent Resource Curse,” pp. 66-67</w:t>
      </w:r>
    </w:p>
  </w:footnote>
  <w:footnote w:id="117">
    <w:p w:rsidR="002B4254" w:rsidRDefault="002B4254">
      <w:pPr>
        <w:pStyle w:val="FootnoteText"/>
      </w:pPr>
      <w:r>
        <w:rPr>
          <w:rStyle w:val="FootnoteReference"/>
        </w:rPr>
        <w:footnoteRef/>
      </w:r>
      <w:r>
        <w:t xml:space="preserve"> Bruce A. Magnussen and John F. Clark, “Understanding Democratic Survival and Democratic Failure in Africa: Insights from Divergent Democratic Experiments in Benin and Congo (Brazzaville),” </w:t>
      </w:r>
      <w:r>
        <w:rPr>
          <w:i/>
        </w:rPr>
        <w:t>Comparative Studies in Society and History</w:t>
      </w:r>
      <w:r>
        <w:t>, Vol. 47, No. 3 (July 2005), p. 558</w:t>
      </w:r>
    </w:p>
  </w:footnote>
  <w:footnote w:id="118">
    <w:p w:rsidR="002B4254" w:rsidRDefault="002B4254">
      <w:pPr>
        <w:pStyle w:val="FootnoteText"/>
      </w:pPr>
      <w:r>
        <w:rPr>
          <w:rStyle w:val="FootnoteReference"/>
        </w:rPr>
        <w:footnoteRef/>
      </w:r>
      <w:r>
        <w:t xml:space="preserve"> </w:t>
      </w:r>
      <w:r w:rsidRPr="00CD0F2F">
        <w:t>François</w:t>
      </w:r>
      <w:r w:rsidRPr="004D6924">
        <w:t xml:space="preserve"> </w:t>
      </w:r>
      <w:r w:rsidRPr="00CD0F2F">
        <w:t>Ngolet</w:t>
      </w:r>
      <w:r>
        <w:t xml:space="preserve">, “African and American Connivance in Congo-Zaire,” </w:t>
      </w:r>
      <w:r>
        <w:rPr>
          <w:i/>
        </w:rPr>
        <w:t>Africa Today</w:t>
      </w:r>
      <w:r>
        <w:t>, Vol. 47, No. 1 (Winter 2000), pp. 74-75</w:t>
      </w:r>
    </w:p>
  </w:footnote>
  <w:footnote w:id="119">
    <w:p w:rsidR="002B4254" w:rsidRPr="004E1076" w:rsidRDefault="002B4254">
      <w:pPr>
        <w:pStyle w:val="FootnoteText"/>
      </w:pPr>
      <w:r>
        <w:rPr>
          <w:rStyle w:val="FootnoteReference"/>
        </w:rPr>
        <w:footnoteRef/>
      </w:r>
      <w:r>
        <w:t xml:space="preserve"> Katherine Galssmyer and Nicholas Sambanis, “Rebel: Military Integration and Civil War Termination,” </w:t>
      </w:r>
      <w:r>
        <w:rPr>
          <w:i/>
        </w:rPr>
        <w:t>Journal of Peace Research</w:t>
      </w:r>
      <w:r>
        <w:t>, Vol. 45, No. 3 (May 2008), p. 380</w:t>
      </w:r>
    </w:p>
  </w:footnote>
  <w:footnote w:id="120">
    <w:p w:rsidR="002B4254" w:rsidRPr="004E1076" w:rsidRDefault="002B4254">
      <w:pPr>
        <w:pStyle w:val="FootnoteText"/>
        <w:rPr>
          <w:b/>
          <w:bCs/>
        </w:rPr>
      </w:pPr>
      <w:r w:rsidRPr="004E1076">
        <w:rPr>
          <w:rStyle w:val="FootnoteReference"/>
        </w:rPr>
        <w:footnoteRef/>
      </w:r>
      <w:r w:rsidRPr="004E1076">
        <w:t xml:space="preserve"> Patrice Yengo, </w:t>
      </w:r>
      <w:r w:rsidRPr="004E1076">
        <w:rPr>
          <w:bCs/>
          <w:i/>
        </w:rPr>
        <w:t>La guerre civile du Congo-Brazzaville, 1993-2002: "chacun aura sa part"</w:t>
      </w:r>
      <w:r>
        <w:rPr>
          <w:bCs/>
        </w:rPr>
        <w:t>, Éditions Karthala, 2006, pp. 387-390</w:t>
      </w:r>
    </w:p>
  </w:footnote>
  <w:footnote w:id="121">
    <w:p w:rsidR="002B4254" w:rsidRDefault="002B4254">
      <w:pPr>
        <w:pStyle w:val="FootnoteText"/>
      </w:pPr>
      <w:r>
        <w:rPr>
          <w:rStyle w:val="FootnoteReference"/>
        </w:rPr>
        <w:footnoteRef/>
      </w:r>
      <w:r>
        <w:t xml:space="preserve"> “Congo,” </w:t>
      </w:r>
      <w:r w:rsidRPr="00431C93">
        <w:t xml:space="preserve">Uppsala Conflict Data Program (Date of retrieval: </w:t>
      </w:r>
      <w:r>
        <w:t>17</w:t>
      </w:r>
      <w:r w:rsidRPr="00431C93">
        <w:t>/</w:t>
      </w:r>
      <w:r>
        <w:t>03</w:t>
      </w:r>
      <w:r w:rsidRPr="00431C93">
        <w:t>/</w:t>
      </w:r>
      <w:r>
        <w:t>28</w:t>
      </w:r>
      <w:r w:rsidRPr="00431C93">
        <w:t xml:space="preserve">) </w:t>
      </w:r>
      <w:r w:rsidRPr="00790302">
        <w:rPr>
          <w:i/>
        </w:rPr>
        <w:t>UCDP Conflict Encyclopedia</w:t>
      </w:r>
      <w:r w:rsidRPr="00431C93">
        <w:t xml:space="preserve">: </w:t>
      </w:r>
      <w:hyperlink r:id="rId10" w:anchor="country/484" w:history="1">
        <w:r w:rsidRPr="007D4D86">
          <w:rPr>
            <w:rStyle w:val="Hyperlink"/>
          </w:rPr>
          <w:t>www.ucdp.uu.se/#country/484</w:t>
        </w:r>
      </w:hyperlink>
      <w:r>
        <w:t xml:space="preserve"> </w:t>
      </w:r>
      <w:r w:rsidRPr="00431C93">
        <w:t>, Uppsala University</w:t>
      </w:r>
    </w:p>
  </w:footnote>
  <w:footnote w:id="122">
    <w:p w:rsidR="002B4254" w:rsidRDefault="002B4254">
      <w:pPr>
        <w:pStyle w:val="FootnoteText"/>
      </w:pPr>
      <w:r>
        <w:rPr>
          <w:rStyle w:val="FootnoteReference"/>
        </w:rPr>
        <w:footnoteRef/>
      </w:r>
      <w:r>
        <w:t xml:space="preserve"> John F. Clark and Samuel Decalo, </w:t>
      </w:r>
      <w:r>
        <w:rPr>
          <w:i/>
        </w:rPr>
        <w:t>Historical Dictionary of the Republic of Congo</w:t>
      </w:r>
      <w:r>
        <w:t>, 4</w:t>
      </w:r>
      <w:r w:rsidRPr="00FA176D">
        <w:rPr>
          <w:vertAlign w:val="superscript"/>
        </w:rPr>
        <w:t>th</w:t>
      </w:r>
      <w:r>
        <w:t xml:space="preserve"> Edition, Scarecrow Press, 2012, pp. xxxix-xl</w:t>
      </w:r>
    </w:p>
  </w:footnote>
  <w:footnote w:id="123">
    <w:p w:rsidR="002B4254" w:rsidRPr="00663C6F" w:rsidRDefault="002B4254">
      <w:pPr>
        <w:pStyle w:val="FootnoteText"/>
      </w:pPr>
      <w:r>
        <w:rPr>
          <w:rStyle w:val="FootnoteReference"/>
        </w:rPr>
        <w:footnoteRef/>
      </w:r>
      <w:r>
        <w:t xml:space="preserve"> Burg and Shoup, </w:t>
      </w:r>
      <w:r>
        <w:rPr>
          <w:i/>
        </w:rPr>
        <w:t>War in Bosnia-Herzegovina</w:t>
      </w:r>
      <w:r>
        <w:t>, pp. 81-92</w:t>
      </w:r>
    </w:p>
  </w:footnote>
  <w:footnote w:id="124">
    <w:p w:rsidR="002B4254" w:rsidRDefault="002B4254">
      <w:pPr>
        <w:pStyle w:val="FootnoteText"/>
      </w:pPr>
      <w:r>
        <w:rPr>
          <w:rStyle w:val="FootnoteReference"/>
        </w:rPr>
        <w:footnoteRef/>
      </w:r>
      <w:r>
        <w:t xml:space="preserve"> Ibid. pp. 81-82</w:t>
      </w:r>
    </w:p>
  </w:footnote>
  <w:footnote w:id="125">
    <w:p w:rsidR="002B4254" w:rsidRDefault="002B4254">
      <w:pPr>
        <w:pStyle w:val="FootnoteText"/>
      </w:pPr>
      <w:r>
        <w:rPr>
          <w:rStyle w:val="FootnoteReference"/>
        </w:rPr>
        <w:footnoteRef/>
      </w:r>
      <w:r>
        <w:t xml:space="preserve"> Ibid. p. 81-82</w:t>
      </w:r>
    </w:p>
  </w:footnote>
  <w:footnote w:id="126">
    <w:p w:rsidR="002B4254" w:rsidRPr="00DC6946" w:rsidRDefault="002B4254">
      <w:pPr>
        <w:pStyle w:val="FootnoteText"/>
      </w:pPr>
      <w:r>
        <w:rPr>
          <w:rStyle w:val="FootnoteReference"/>
        </w:rPr>
        <w:footnoteRef/>
      </w:r>
      <w:r>
        <w:t xml:space="preserve"> Cencich, </w:t>
      </w:r>
      <w:r>
        <w:rPr>
          <w:i/>
        </w:rPr>
        <w:t>Devil’s Garden</w:t>
      </w:r>
      <w:r>
        <w:t>, pp. 109-121</w:t>
      </w:r>
    </w:p>
  </w:footnote>
  <w:footnote w:id="127">
    <w:p w:rsidR="002B4254" w:rsidRPr="007D3057" w:rsidRDefault="002B4254">
      <w:pPr>
        <w:pStyle w:val="FootnoteText"/>
      </w:pPr>
      <w:r>
        <w:rPr>
          <w:rStyle w:val="FootnoteReference"/>
        </w:rPr>
        <w:footnoteRef/>
      </w:r>
      <w:r>
        <w:t xml:space="preserve"> Susan Woodward, </w:t>
      </w:r>
      <w:r>
        <w:rPr>
          <w:i/>
        </w:rPr>
        <w:t>Balkan Tragedy: Chaos and Dissolution After the Cold War</w:t>
      </w:r>
      <w:r>
        <w:t>, Brookings Institution, 1995, p. 510</w:t>
      </w:r>
    </w:p>
  </w:footnote>
  <w:footnote w:id="128">
    <w:p w:rsidR="002B4254" w:rsidRDefault="002B4254">
      <w:pPr>
        <w:pStyle w:val="FootnoteText"/>
      </w:pPr>
      <w:r>
        <w:rPr>
          <w:rStyle w:val="FootnoteReference"/>
        </w:rPr>
        <w:footnoteRef/>
      </w:r>
      <w:r>
        <w:t xml:space="preserve"> Marcus Tanner, </w:t>
      </w:r>
      <w:r>
        <w:rPr>
          <w:i/>
        </w:rPr>
        <w:t xml:space="preserve">Croatia: A Nation Forged in War, </w:t>
      </w:r>
      <w:r w:rsidRPr="00B75459">
        <w:t>3</w:t>
      </w:r>
      <w:r w:rsidRPr="00B75459">
        <w:rPr>
          <w:vertAlign w:val="superscript"/>
        </w:rPr>
        <w:t>rd</w:t>
      </w:r>
      <w:r w:rsidRPr="00B75459">
        <w:t xml:space="preserve"> Ed.</w:t>
      </w:r>
      <w:r>
        <w:t>, Yale University Press, 2010, p. 332</w:t>
      </w:r>
    </w:p>
  </w:footnote>
  <w:footnote w:id="129">
    <w:p w:rsidR="002B4254" w:rsidRDefault="002B4254">
      <w:pPr>
        <w:pStyle w:val="FootnoteText"/>
      </w:pPr>
      <w:r>
        <w:rPr>
          <w:rStyle w:val="FootnoteReference"/>
        </w:rPr>
        <w:footnoteRef/>
      </w:r>
      <w:r>
        <w:t xml:space="preserve"> Ibid. p. 305</w:t>
      </w:r>
    </w:p>
  </w:footnote>
  <w:footnote w:id="130">
    <w:p w:rsidR="002B4254" w:rsidRDefault="002B4254">
      <w:pPr>
        <w:pStyle w:val="FootnoteText"/>
      </w:pPr>
      <w:r>
        <w:rPr>
          <w:rStyle w:val="FootnoteReference"/>
        </w:rPr>
        <w:footnoteRef/>
      </w:r>
      <w:r>
        <w:t xml:space="preserve"> Robert M.</w:t>
      </w:r>
      <w:r w:rsidRPr="004D6924">
        <w:t xml:space="preserve"> </w:t>
      </w:r>
      <w:r>
        <w:t xml:space="preserve">Hayden, “Imagined Communities and Real Victims: Self-Determination and Ethnic Cleansing in Yugoslavia,” </w:t>
      </w:r>
      <w:r>
        <w:rPr>
          <w:i/>
        </w:rPr>
        <w:t>American Ethnologist</w:t>
      </w:r>
      <w:r>
        <w:t>, Vol. 23, No. 4 (Nov. 1996), p. 791</w:t>
      </w:r>
    </w:p>
  </w:footnote>
  <w:footnote w:id="131">
    <w:p w:rsidR="002B4254" w:rsidRDefault="002B4254">
      <w:pPr>
        <w:pStyle w:val="FootnoteText"/>
      </w:pPr>
      <w:r>
        <w:rPr>
          <w:rStyle w:val="FootnoteReference"/>
        </w:rPr>
        <w:footnoteRef/>
      </w:r>
      <w:r>
        <w:t xml:space="preserve"> John R. Cencich, </w:t>
      </w:r>
      <w:r>
        <w:rPr>
          <w:i/>
        </w:rPr>
        <w:t>The Devil’s Garden</w:t>
      </w:r>
      <w:r>
        <w:t>, University of Nebraska Press, 2013, p. 118</w:t>
      </w:r>
    </w:p>
  </w:footnote>
  <w:footnote w:id="132">
    <w:p w:rsidR="002B4254" w:rsidRPr="007D3057" w:rsidRDefault="002B4254">
      <w:pPr>
        <w:pStyle w:val="FootnoteText"/>
      </w:pPr>
      <w:r>
        <w:rPr>
          <w:rStyle w:val="FootnoteReference"/>
        </w:rPr>
        <w:footnoteRef/>
      </w:r>
      <w:r>
        <w:t xml:space="preserve"> Woodward, </w:t>
      </w:r>
      <w:r>
        <w:rPr>
          <w:i/>
        </w:rPr>
        <w:t>Balkan Tragedy</w:t>
      </w:r>
      <w:r>
        <w:t>, p. 510</w:t>
      </w:r>
    </w:p>
  </w:footnote>
  <w:footnote w:id="133">
    <w:p w:rsidR="002B4254" w:rsidRDefault="002B4254">
      <w:pPr>
        <w:pStyle w:val="FootnoteText"/>
      </w:pPr>
      <w:r>
        <w:rPr>
          <w:rStyle w:val="FootnoteReference"/>
        </w:rPr>
        <w:footnoteRef/>
      </w:r>
      <w:r>
        <w:t xml:space="preserve"> Ibid. pp. 109-121</w:t>
      </w:r>
    </w:p>
  </w:footnote>
  <w:footnote w:id="134">
    <w:p w:rsidR="002B4254" w:rsidRPr="00466925" w:rsidRDefault="002B4254">
      <w:pPr>
        <w:pStyle w:val="FootnoteText"/>
      </w:pPr>
      <w:r>
        <w:rPr>
          <w:rStyle w:val="FootnoteReference"/>
        </w:rPr>
        <w:footnoteRef/>
      </w:r>
      <w:r>
        <w:t xml:space="preserve"> Burg and Shoup, </w:t>
      </w:r>
      <w:r>
        <w:rPr>
          <w:i/>
        </w:rPr>
        <w:t>War in Bosnia-Herzegovina</w:t>
      </w:r>
      <w:r>
        <w:t>, pp. 81-84</w:t>
      </w:r>
    </w:p>
  </w:footnote>
  <w:footnote w:id="135">
    <w:p w:rsidR="002B4254" w:rsidRDefault="002B4254">
      <w:pPr>
        <w:pStyle w:val="FootnoteText"/>
      </w:pPr>
      <w:r>
        <w:rPr>
          <w:rStyle w:val="FootnoteReference"/>
        </w:rPr>
        <w:footnoteRef/>
      </w:r>
      <w:r>
        <w:t xml:space="preserve"> Mampilly, “Stationary Bandits,” pp. 209-211</w:t>
      </w:r>
    </w:p>
  </w:footnote>
  <w:footnote w:id="136">
    <w:p w:rsidR="002B4254" w:rsidRPr="000F0256" w:rsidRDefault="002B4254">
      <w:pPr>
        <w:pStyle w:val="FootnoteText"/>
      </w:pPr>
      <w:r>
        <w:rPr>
          <w:rStyle w:val="FootnoteReference"/>
        </w:rPr>
        <w:footnoteRef/>
      </w:r>
      <w:r>
        <w:t xml:space="preserve"> William Cyrus Reed, “Protracted Patronage, Truncated Armed Struggle, and Political Consolidation in the Democratic Republic of Congo,” </w:t>
      </w:r>
      <w:r>
        <w:rPr>
          <w:i/>
        </w:rPr>
        <w:t>A Journal of Opinion</w:t>
      </w:r>
      <w:r>
        <w:t>, Vol. 26, No. 1 (1998), pp. 18-21</w:t>
      </w:r>
    </w:p>
  </w:footnote>
  <w:footnote w:id="137">
    <w:p w:rsidR="002B4254" w:rsidRPr="003805AF" w:rsidRDefault="002B4254">
      <w:pPr>
        <w:pStyle w:val="FootnoteText"/>
      </w:pPr>
      <w:r>
        <w:rPr>
          <w:rStyle w:val="FootnoteReference"/>
        </w:rPr>
        <w:footnoteRef/>
      </w:r>
      <w:r>
        <w:t xml:space="preserve"> Chris Allen, “Editorial: Zaire, South Africa: Moving Forward?” </w:t>
      </w:r>
      <w:r>
        <w:rPr>
          <w:i/>
        </w:rPr>
        <w:t>Review of African Political Economy</w:t>
      </w:r>
      <w:r>
        <w:t>, Vol. 24, No. 72 (June 1997), pp. 165-170</w:t>
      </w:r>
    </w:p>
  </w:footnote>
  <w:footnote w:id="138">
    <w:p w:rsidR="002B4254" w:rsidRDefault="002B4254">
      <w:pPr>
        <w:pStyle w:val="FootnoteText"/>
      </w:pPr>
      <w:r>
        <w:rPr>
          <w:rStyle w:val="FootnoteReference"/>
        </w:rPr>
        <w:footnoteRef/>
      </w:r>
      <w:r>
        <w:t xml:space="preserve"> Ibid.  pp. 165-170</w:t>
      </w:r>
    </w:p>
  </w:footnote>
  <w:footnote w:id="139">
    <w:p w:rsidR="002B4254" w:rsidRDefault="002B4254">
      <w:pPr>
        <w:pStyle w:val="FootnoteText"/>
      </w:pPr>
      <w:r>
        <w:rPr>
          <w:rStyle w:val="FootnoteReference"/>
        </w:rPr>
        <w:footnoteRef/>
      </w:r>
      <w:r>
        <w:t xml:space="preserve"> Nigel Eltringham, </w:t>
      </w:r>
      <w:r>
        <w:rPr>
          <w:i/>
        </w:rPr>
        <w:t>Accounting for Horror: Post-Genocide Debates in Rwanda</w:t>
      </w:r>
      <w:r>
        <w:t>, Pluto Press, 2004, pp. 124-131</w:t>
      </w:r>
    </w:p>
  </w:footnote>
  <w:footnote w:id="140">
    <w:p w:rsidR="002B4254" w:rsidRDefault="002B4254">
      <w:pPr>
        <w:pStyle w:val="FootnoteText"/>
      </w:pPr>
      <w:r>
        <w:rPr>
          <w:rStyle w:val="FootnoteReference"/>
        </w:rPr>
        <w:footnoteRef/>
      </w:r>
      <w:r>
        <w:t xml:space="preserve"> Caroline J. L. Collins “Congo/Ex-Zaire Through the Looking Glass,” </w:t>
      </w:r>
      <w:r>
        <w:rPr>
          <w:i/>
        </w:rPr>
        <w:t>Review of African Political Economy</w:t>
      </w:r>
      <w:r>
        <w:t>, Vol. 25, No. 75 (March 1998), pp. 114-116</w:t>
      </w:r>
    </w:p>
  </w:footnote>
  <w:footnote w:id="141">
    <w:p w:rsidR="002B4254" w:rsidRDefault="002B4254">
      <w:pPr>
        <w:pStyle w:val="FootnoteText"/>
      </w:pPr>
      <w:r>
        <w:rPr>
          <w:rStyle w:val="FootnoteReference"/>
        </w:rPr>
        <w:footnoteRef/>
      </w:r>
      <w:r>
        <w:t xml:space="preserve"> Mampilly, “Stationary Bandits,” pp. 220-235</w:t>
      </w:r>
    </w:p>
  </w:footnote>
  <w:footnote w:id="142">
    <w:p w:rsidR="002B4254" w:rsidRDefault="002B4254">
      <w:pPr>
        <w:pStyle w:val="FootnoteText"/>
      </w:pPr>
      <w:r>
        <w:rPr>
          <w:rStyle w:val="FootnoteReference"/>
        </w:rPr>
        <w:footnoteRef/>
      </w:r>
      <w:r>
        <w:t xml:space="preserve"> Denis M. Tull, </w:t>
      </w:r>
      <w:r>
        <w:rPr>
          <w:i/>
        </w:rPr>
        <w:t>The Reconfiguration of Political Order in Africa: A Case Study of North Kivu (DR Congo)</w:t>
      </w:r>
      <w:r>
        <w:t>, PhD Diss., Institut fur Africa-Kunde, pp. 213-217</w:t>
      </w:r>
    </w:p>
  </w:footnote>
  <w:footnote w:id="143">
    <w:p w:rsidR="002B4254" w:rsidRDefault="002B4254">
      <w:pPr>
        <w:pStyle w:val="FootnoteText"/>
      </w:pPr>
      <w:r>
        <w:rPr>
          <w:rStyle w:val="FootnoteReference"/>
        </w:rPr>
        <w:footnoteRef/>
      </w:r>
      <w:r>
        <w:t xml:space="preserve"> Denis M. Tull, “</w:t>
      </w:r>
      <w:r w:rsidRPr="000111E5">
        <w:t>A Reconfiguration of Political Order? The State of the State in North Kivu (DR Congo)</w:t>
      </w:r>
      <w:r>
        <w:t xml:space="preserve">,” </w:t>
      </w:r>
      <w:r>
        <w:rPr>
          <w:i/>
        </w:rPr>
        <w:t>African Affairs</w:t>
      </w:r>
      <w:r>
        <w:t>, Vol. 102, No. 408 (July, 2003), pp. 435-436</w:t>
      </w:r>
    </w:p>
  </w:footnote>
  <w:footnote w:id="144">
    <w:p w:rsidR="002B4254" w:rsidRDefault="002B4254">
      <w:pPr>
        <w:pStyle w:val="FootnoteText"/>
      </w:pPr>
      <w:r>
        <w:rPr>
          <w:rStyle w:val="FootnoteReference"/>
        </w:rPr>
        <w:footnoteRef/>
      </w:r>
      <w:r>
        <w:t xml:space="preserve"> Mampilly, “Stationary Bandits,” pp. 235-241</w:t>
      </w:r>
    </w:p>
  </w:footnote>
  <w:footnote w:id="145">
    <w:p w:rsidR="002B4254" w:rsidRDefault="002B4254">
      <w:pPr>
        <w:pStyle w:val="FootnoteText"/>
      </w:pPr>
      <w:r>
        <w:rPr>
          <w:rStyle w:val="FootnoteReference"/>
        </w:rPr>
        <w:footnoteRef/>
      </w:r>
      <w:r>
        <w:t xml:space="preserve"> Tull, “</w:t>
      </w:r>
      <w:r w:rsidRPr="000111E5">
        <w:t>Reconfiguration of Political Order?</w:t>
      </w:r>
      <w:r>
        <w:t>”</w:t>
      </w:r>
      <w:r w:rsidRPr="000111E5">
        <w:t xml:space="preserve"> </w:t>
      </w:r>
      <w:r>
        <w:t>pp. 433-436</w:t>
      </w:r>
    </w:p>
  </w:footnote>
  <w:footnote w:id="146">
    <w:p w:rsidR="002B4254" w:rsidRDefault="002B4254">
      <w:pPr>
        <w:pStyle w:val="FootnoteText"/>
      </w:pPr>
      <w:r>
        <w:rPr>
          <w:rStyle w:val="FootnoteReference"/>
        </w:rPr>
        <w:footnoteRef/>
      </w:r>
      <w:r>
        <w:t xml:space="preserve"> Emizet F. Kisangani, “Conflict in the Democratic Republic of Congo: A Mosaic of Insurgent Groups,” </w:t>
      </w:r>
      <w:r>
        <w:rPr>
          <w:i/>
        </w:rPr>
        <w:t>International Journal on World Peace</w:t>
      </w:r>
      <w:r>
        <w:t>, Vol. 20, No. 3 (Sep. 2003), pp. 66, 77</w:t>
      </w:r>
    </w:p>
  </w:footnote>
  <w:footnote w:id="147">
    <w:p w:rsidR="002B4254" w:rsidRDefault="002B4254">
      <w:pPr>
        <w:pStyle w:val="FootnoteText"/>
      </w:pPr>
      <w:r>
        <w:rPr>
          <w:rStyle w:val="FootnoteReference"/>
        </w:rPr>
        <w:footnoteRef/>
      </w:r>
      <w:r>
        <w:t xml:space="preserve"> Tull, “Reconfiguration of Political Order?” pp. 433-436</w:t>
      </w:r>
    </w:p>
  </w:footnote>
  <w:footnote w:id="148">
    <w:p w:rsidR="002B4254" w:rsidRDefault="002B4254">
      <w:pPr>
        <w:pStyle w:val="FootnoteText"/>
      </w:pPr>
      <w:r>
        <w:rPr>
          <w:rStyle w:val="FootnoteReference"/>
        </w:rPr>
        <w:footnoteRef/>
      </w:r>
      <w:r>
        <w:t xml:space="preserve"> Mampilly, “Stationary Bandits,” p. 101</w:t>
      </w:r>
    </w:p>
  </w:footnote>
  <w:footnote w:id="149">
    <w:p w:rsidR="002B4254" w:rsidRDefault="002B4254">
      <w:pPr>
        <w:pStyle w:val="FootnoteText"/>
      </w:pPr>
      <w:r>
        <w:rPr>
          <w:rStyle w:val="FootnoteReference"/>
        </w:rPr>
        <w:footnoteRef/>
      </w:r>
      <w:r>
        <w:t xml:space="preserve"> Tatiana Carayannis, “</w:t>
      </w:r>
      <w:r w:rsidRPr="00811A1C">
        <w:t xml:space="preserve">The Complex Wars of the Congo: Towards a New Analytic Approach.” </w:t>
      </w:r>
      <w:r w:rsidRPr="00811A1C">
        <w:rPr>
          <w:i/>
        </w:rPr>
        <w:t>Journal of Asian and African Studies</w:t>
      </w:r>
      <w:r w:rsidRPr="00811A1C">
        <w:t xml:space="preserve"> </w:t>
      </w:r>
      <w:r>
        <w:t xml:space="preserve">Vol. </w:t>
      </w:r>
      <w:r w:rsidRPr="00811A1C">
        <w:t>38 (</w:t>
      </w:r>
      <w:r>
        <w:t xml:space="preserve">No. </w:t>
      </w:r>
      <w:r w:rsidRPr="00811A1C">
        <w:t xml:space="preserve">2-3) </w:t>
      </w:r>
      <w:r>
        <w:t>pp. 244-249</w:t>
      </w:r>
    </w:p>
  </w:footnote>
  <w:footnote w:id="150">
    <w:p w:rsidR="002B4254" w:rsidRPr="00CE3164" w:rsidRDefault="002B4254">
      <w:pPr>
        <w:pStyle w:val="FootnoteText"/>
      </w:pPr>
      <w:r>
        <w:rPr>
          <w:rStyle w:val="FootnoteReference"/>
        </w:rPr>
        <w:footnoteRef/>
      </w:r>
      <w:r>
        <w:t xml:space="preserve"> Carole J. L. Collins, “Congo: Revisiting the Looking Glass” </w:t>
      </w:r>
      <w:r>
        <w:rPr>
          <w:i/>
        </w:rPr>
        <w:t>Review of African Political Economy</w:t>
      </w:r>
      <w:r>
        <w:t>, Vol 29, No. 93/94 (Sept.-Dec. 2002), pp. 607-615</w:t>
      </w:r>
    </w:p>
  </w:footnote>
  <w:footnote w:id="151">
    <w:p w:rsidR="002B4254" w:rsidRDefault="002B4254">
      <w:pPr>
        <w:pStyle w:val="FootnoteText"/>
      </w:pPr>
      <w:r>
        <w:rPr>
          <w:rStyle w:val="FootnoteReference"/>
        </w:rPr>
        <w:footnoteRef/>
      </w:r>
      <w:r>
        <w:t xml:space="preserve"> International Crisis Group. 2000</w:t>
      </w:r>
      <w:r w:rsidRPr="00811A1C">
        <w:rPr>
          <w:i/>
        </w:rPr>
        <w:t>. Scramble for the Congo: Anatomy of an Ugly War</w:t>
      </w:r>
      <w:r>
        <w:t xml:space="preserve">. ICG Africa Report No. 26, December 26. Nairobi/ Brussels </w:t>
      </w:r>
      <w:hyperlink r:id="rId11" w:history="1">
        <w:r w:rsidRPr="00D708FE">
          <w:rPr>
            <w:rStyle w:val="Hyperlink"/>
          </w:rPr>
          <w:t>https://repositories.lib.utexas.edu/bitstream/handle/2152/5396/2248.pdf?sequence=1</w:t>
        </w:r>
      </w:hyperlink>
      <w:r>
        <w:t xml:space="preserve"> (accessed December 13, 2017), pp. 36-37</w:t>
      </w:r>
    </w:p>
  </w:footnote>
  <w:footnote w:id="152">
    <w:p w:rsidR="002B4254" w:rsidRPr="0010725C" w:rsidRDefault="002B4254">
      <w:pPr>
        <w:pStyle w:val="FootnoteText"/>
      </w:pPr>
      <w:r>
        <w:rPr>
          <w:rStyle w:val="FootnoteReference"/>
        </w:rPr>
        <w:footnoteRef/>
      </w:r>
      <w:r>
        <w:t xml:space="preserve"> Séverine Autessere reports that a year after the war’s conclusion, 1,000 Congolese civilians died daily from disease and malnutrition, which speaks to the degree to which the state and rebel groups failed to provide these goods of governance (see: Séverine</w:t>
      </w:r>
      <w:r w:rsidRPr="00736697">
        <w:t xml:space="preserve"> </w:t>
      </w:r>
      <w:r>
        <w:t xml:space="preserve">Autessere, “D. R. Congo: Explaining Peace Building Failures, 2003-2006,” </w:t>
      </w:r>
      <w:r>
        <w:rPr>
          <w:i/>
        </w:rPr>
        <w:t>Review of African Political Economy</w:t>
      </w:r>
      <w:r>
        <w:t>, Vol. 34, No. 113 (Sep. 2007), pp. 423-424).</w:t>
      </w:r>
    </w:p>
  </w:footnote>
  <w:footnote w:id="153">
    <w:p w:rsidR="002B4254" w:rsidRDefault="002B4254">
      <w:pPr>
        <w:pStyle w:val="FootnoteText"/>
      </w:pPr>
      <w:r>
        <w:rPr>
          <w:rStyle w:val="FootnoteReference"/>
        </w:rPr>
        <w:footnoteRef/>
      </w:r>
      <w:r>
        <w:t xml:space="preserve"> Mampilly, “Stationary Bandits,” pp. 220-241</w:t>
      </w:r>
    </w:p>
  </w:footnote>
  <w:footnote w:id="154">
    <w:p w:rsidR="002B4254" w:rsidRDefault="002B4254">
      <w:pPr>
        <w:pStyle w:val="FootnoteText"/>
      </w:pPr>
      <w:r>
        <w:rPr>
          <w:rStyle w:val="FootnoteReference"/>
        </w:rPr>
        <w:footnoteRef/>
      </w:r>
      <w:r>
        <w:t xml:space="preserve"> Ibid. pp. 233-236</w:t>
      </w:r>
    </w:p>
  </w:footnote>
  <w:footnote w:id="155">
    <w:p w:rsidR="002B4254" w:rsidRPr="00037F20" w:rsidRDefault="002B4254">
      <w:pPr>
        <w:pStyle w:val="FootnoteText"/>
      </w:pPr>
      <w:r>
        <w:rPr>
          <w:rStyle w:val="FootnoteReference"/>
        </w:rPr>
        <w:footnoteRef/>
      </w:r>
      <w:r>
        <w:t xml:space="preserve"> Séverine Autessere, </w:t>
      </w:r>
      <w:r>
        <w:rPr>
          <w:i/>
        </w:rPr>
        <w:t>The Trouble with Congo: Local Violence and the Failure of International Peacebuilding</w:t>
      </w:r>
      <w:r>
        <w:t>, Cambridge University Press, 2010, pp. 69-72</w:t>
      </w:r>
    </w:p>
  </w:footnote>
  <w:footnote w:id="156">
    <w:p w:rsidR="002B4254" w:rsidRPr="00F949AD" w:rsidRDefault="002B4254">
      <w:pPr>
        <w:pStyle w:val="FootnoteText"/>
      </w:pPr>
      <w:r>
        <w:rPr>
          <w:rStyle w:val="FootnoteReference"/>
        </w:rPr>
        <w:footnoteRef/>
      </w:r>
      <w:r>
        <w:t xml:space="preserve"> Tull, </w:t>
      </w:r>
      <w:r>
        <w:rPr>
          <w:i/>
        </w:rPr>
        <w:t>The Reconfiguration of Political Order</w:t>
      </w:r>
      <w:r>
        <w:t>, pp. 213-217</w:t>
      </w:r>
    </w:p>
  </w:footnote>
  <w:footnote w:id="157">
    <w:p w:rsidR="002B4254" w:rsidRDefault="002B4254">
      <w:pPr>
        <w:pStyle w:val="FootnoteText"/>
      </w:pPr>
      <w:r>
        <w:rPr>
          <w:rStyle w:val="FootnoteReference"/>
        </w:rPr>
        <w:footnoteRef/>
      </w:r>
      <w:r>
        <w:t xml:space="preserve"> Carayannis, “The Complex Wars of Congo,” pp. 244-249</w:t>
      </w:r>
    </w:p>
  </w:footnote>
  <w:footnote w:id="158">
    <w:p w:rsidR="002B4254" w:rsidRPr="00CE3164" w:rsidRDefault="002B4254">
      <w:pPr>
        <w:pStyle w:val="FootnoteText"/>
      </w:pPr>
      <w:r>
        <w:rPr>
          <w:rStyle w:val="FootnoteReference"/>
        </w:rPr>
        <w:footnoteRef/>
      </w:r>
      <w:r>
        <w:t xml:space="preserve"> ICG, </w:t>
      </w:r>
      <w:r>
        <w:rPr>
          <w:i/>
        </w:rPr>
        <w:t>Scramble for the Congo</w:t>
      </w:r>
      <w:r>
        <w:t>, pp. 36-37</w:t>
      </w:r>
    </w:p>
  </w:footnote>
  <w:footnote w:id="159">
    <w:p w:rsidR="002B4254" w:rsidRDefault="002B4254">
      <w:pPr>
        <w:pStyle w:val="FootnoteText"/>
      </w:pPr>
      <w:r>
        <w:rPr>
          <w:rStyle w:val="FootnoteReference"/>
        </w:rPr>
        <w:footnoteRef/>
      </w:r>
      <w:r>
        <w:t xml:space="preserve"> Mampilly, “Stationary Bandits,” p. 101</w:t>
      </w:r>
    </w:p>
  </w:footnote>
  <w:footnote w:id="160">
    <w:p w:rsidR="002B4254" w:rsidRPr="0088067C" w:rsidRDefault="002B4254">
      <w:pPr>
        <w:pStyle w:val="FootnoteText"/>
        <w:rPr>
          <w:rFonts w:cstheme="minorHAnsi"/>
        </w:rPr>
      </w:pPr>
      <w:r>
        <w:rPr>
          <w:rStyle w:val="FootnoteReference"/>
        </w:rPr>
        <w:footnoteRef/>
      </w:r>
      <w:r w:rsidRPr="0088067C">
        <w:rPr>
          <w:rFonts w:cstheme="minorHAnsi"/>
        </w:rPr>
        <w:t xml:space="preserve"> Collins, “Congo,” pp. 607-615; atrocities were also committed by RCD forces.</w:t>
      </w:r>
    </w:p>
  </w:footnote>
  <w:footnote w:id="161">
    <w:p w:rsidR="002B4254" w:rsidRDefault="002B4254">
      <w:pPr>
        <w:pStyle w:val="FootnoteText"/>
      </w:pPr>
      <w:r w:rsidRPr="0088067C">
        <w:rPr>
          <w:rStyle w:val="FootnoteReference"/>
          <w:rFonts w:cstheme="minorHAnsi"/>
        </w:rPr>
        <w:footnoteRef/>
      </w:r>
      <w:r w:rsidRPr="0088067C">
        <w:rPr>
          <w:rFonts w:cstheme="minorHAnsi"/>
        </w:rPr>
        <w:t xml:space="preserve"> </w:t>
      </w:r>
      <w:r w:rsidRPr="0088067C">
        <w:rPr>
          <w:rFonts w:cstheme="minorHAnsi"/>
          <w:color w:val="222222"/>
          <w:shd w:val="clear" w:color="auto" w:fill="FFFFFF"/>
        </w:rPr>
        <w:t xml:space="preserve">Michael Deibert, </w:t>
      </w:r>
      <w:r w:rsidRPr="0088067C">
        <w:rPr>
          <w:rFonts w:cstheme="minorHAnsi"/>
          <w:i/>
          <w:color w:val="222222"/>
          <w:shd w:val="clear" w:color="auto" w:fill="FFFFFF"/>
        </w:rPr>
        <w:t>The Democratic Republic of Congo: Between Hope and Despair</w:t>
      </w:r>
      <w:r w:rsidRPr="0088067C">
        <w:rPr>
          <w:rFonts w:cstheme="minorHAnsi"/>
          <w:color w:val="222222"/>
          <w:shd w:val="clear" w:color="auto" w:fill="FFFFFF"/>
        </w:rPr>
        <w:t>, Zed Books, 2013, pp. 97-99</w:t>
      </w:r>
    </w:p>
  </w:footnote>
  <w:footnote w:id="162">
    <w:p w:rsidR="002B4254" w:rsidRDefault="002B4254">
      <w:pPr>
        <w:pStyle w:val="FootnoteText"/>
      </w:pPr>
      <w:r>
        <w:rPr>
          <w:rStyle w:val="FootnoteReference"/>
        </w:rPr>
        <w:footnoteRef/>
      </w:r>
      <w:r>
        <w:t xml:space="preserve"> Mampilly, “Stationary Bandits,” 232-233</w:t>
      </w:r>
    </w:p>
  </w:footnote>
  <w:footnote w:id="163">
    <w:p w:rsidR="002B4254" w:rsidRDefault="002B4254">
      <w:pPr>
        <w:pStyle w:val="FootnoteText"/>
      </w:pPr>
      <w:r>
        <w:rPr>
          <w:rStyle w:val="FootnoteReference"/>
        </w:rPr>
        <w:footnoteRef/>
      </w:r>
      <w:r>
        <w:t xml:space="preserve"> Pole Institute, </w:t>
      </w:r>
      <w:r w:rsidRPr="00000042">
        <w:rPr>
          <w:i/>
        </w:rPr>
        <w:t>Democratic Republic of Congo: Peace Tomorrow?</w:t>
      </w:r>
      <w:r>
        <w:t xml:space="preserve"> Goma: March 2003. 5-6, 28-30.</w:t>
      </w:r>
    </w:p>
  </w:footnote>
  <w:footnote w:id="164">
    <w:p w:rsidR="002B4254" w:rsidRDefault="002B4254">
      <w:pPr>
        <w:pStyle w:val="FootnoteText"/>
      </w:pPr>
      <w:r>
        <w:rPr>
          <w:rStyle w:val="FootnoteReference"/>
        </w:rPr>
        <w:footnoteRef/>
      </w:r>
      <w:r>
        <w:t xml:space="preserve"> Mohamed</w:t>
      </w:r>
      <w:r w:rsidRPr="00736697">
        <w:t xml:space="preserve"> </w:t>
      </w:r>
      <w:r>
        <w:t xml:space="preserve">Kadamy, “Djibouti: Between War and Peace,” </w:t>
      </w:r>
      <w:r>
        <w:rPr>
          <w:i/>
        </w:rPr>
        <w:t>Review of African Political Economy</w:t>
      </w:r>
      <w:r>
        <w:t>, Vol. 23, No. 70 (Dec. 1996), pp. 515-517</w:t>
      </w:r>
    </w:p>
  </w:footnote>
  <w:footnote w:id="165">
    <w:p w:rsidR="002B4254" w:rsidRDefault="002B4254">
      <w:pPr>
        <w:pStyle w:val="FootnoteText"/>
      </w:pPr>
      <w:r>
        <w:rPr>
          <w:rStyle w:val="FootnoteReference"/>
        </w:rPr>
        <w:footnoteRef/>
      </w:r>
      <w:r>
        <w:t xml:space="preserve"> Abdo A.</w:t>
      </w:r>
      <w:r w:rsidRPr="00736697">
        <w:t xml:space="preserve"> </w:t>
      </w:r>
      <w:r>
        <w:t>Abdallah, “State Building, Independence And Post-Conflict Reconstruction in Djibouti,”</w:t>
      </w:r>
      <w:r w:rsidRPr="002A190F">
        <w:rPr>
          <w:sz w:val="22"/>
          <w:szCs w:val="22"/>
        </w:rPr>
        <w:t xml:space="preserve"> </w:t>
      </w:r>
      <w:r w:rsidRPr="002A190F">
        <w:rPr>
          <w:i/>
        </w:rPr>
        <w:t>Post-Conflict Peace-Building in the Horn of Africa</w:t>
      </w:r>
      <w:r>
        <w:t xml:space="preserve">, ed. Ulf Johansson Dahre, Lund University, 2007, </w:t>
      </w:r>
      <w:hyperlink r:id="rId12" w:anchor="page=269" w:history="1">
        <w:r w:rsidRPr="00C01461">
          <w:rPr>
            <w:rStyle w:val="Hyperlink"/>
          </w:rPr>
          <w:t>http://www.sirclund.se/Conference%20report%202007.pdf#page=269</w:t>
        </w:r>
      </w:hyperlink>
      <w:r>
        <w:t xml:space="preserve"> (accessed March 23, 2017), pp. 276-277</w:t>
      </w:r>
    </w:p>
  </w:footnote>
  <w:footnote w:id="166">
    <w:p w:rsidR="002B4254" w:rsidRDefault="002B4254">
      <w:pPr>
        <w:pStyle w:val="FootnoteText"/>
      </w:pPr>
      <w:r>
        <w:rPr>
          <w:rStyle w:val="FootnoteReference"/>
        </w:rPr>
        <w:footnoteRef/>
      </w:r>
      <w:r>
        <w:t xml:space="preserve"> Jennifer N. Brass, “Djibouti’s Unusual Resource Curse,” </w:t>
      </w:r>
      <w:r>
        <w:rPr>
          <w:i/>
        </w:rPr>
        <w:t>The Journal of Modern African Studies</w:t>
      </w:r>
      <w:r>
        <w:t>, Vol. 46, No. 4 (Dec. 2008), 537-539</w:t>
      </w:r>
    </w:p>
  </w:footnote>
  <w:footnote w:id="167">
    <w:p w:rsidR="002B4254" w:rsidRDefault="002B4254">
      <w:pPr>
        <w:pStyle w:val="FootnoteText"/>
      </w:pPr>
      <w:r>
        <w:rPr>
          <w:rStyle w:val="FootnoteReference"/>
        </w:rPr>
        <w:footnoteRef/>
      </w:r>
      <w:r>
        <w:t xml:space="preserve"> Gerard Prunier, “The Eritrean Question,” </w:t>
      </w:r>
      <w:r>
        <w:rPr>
          <w:i/>
        </w:rPr>
        <w:t>Understanding Contemporary Ethiopia: Monarchy, Revolution, and the Legacy of Meles Zenawi</w:t>
      </w:r>
      <w:r>
        <w:t>, eds. Gerard Prunier and Eloi Ficquet, Hurst &amp; Company, 2015, pp. 241-244</w:t>
      </w:r>
    </w:p>
  </w:footnote>
  <w:footnote w:id="168">
    <w:p w:rsidR="002B4254" w:rsidRDefault="002B4254">
      <w:pPr>
        <w:pStyle w:val="FootnoteText"/>
      </w:pPr>
      <w:r>
        <w:rPr>
          <w:rStyle w:val="FootnoteReference"/>
        </w:rPr>
        <w:footnoteRef/>
      </w:r>
      <w:r>
        <w:t xml:space="preserve"> This agnosticism served the EPLF well, as Eritrea’s Christian majority had been alienated by the explicitly Muslim ELF (see: Dan Connell, “Inside the EPLF: The Origins of the ‘People’s Party’ &amp; its Role in the Liberation of Eritrea,” </w:t>
      </w:r>
      <w:r>
        <w:rPr>
          <w:i/>
        </w:rPr>
        <w:t>Review of African Political Economy</w:t>
      </w:r>
      <w:r>
        <w:t xml:space="preserve">, Vol. 28, No. 89 (Sep. 2001), 346-348) and explicitly anti-religious Derg (see: John Young, “Peasants and Revolution in Ethiopia: Tigray 1975 – 1989,” (Doctoral Dissertation), September 1994, </w:t>
      </w:r>
      <w:hyperlink r:id="rId13" w:history="1">
        <w:r w:rsidRPr="006A0579">
          <w:rPr>
            <w:rStyle w:val="Hyperlink"/>
          </w:rPr>
          <w:t>https://issafrica.s3.amazonaws.com/site/uploads/17NO2BOOKS.PDF</w:t>
        </w:r>
      </w:hyperlink>
      <w:r>
        <w:t xml:space="preserve"> (accessed Jan. 9, 2017), pp. 132, 164)</w:t>
      </w:r>
    </w:p>
  </w:footnote>
  <w:footnote w:id="169">
    <w:p w:rsidR="002B4254" w:rsidRDefault="002B4254">
      <w:pPr>
        <w:pStyle w:val="FootnoteText"/>
      </w:pPr>
      <w:r>
        <w:rPr>
          <w:rStyle w:val="FootnoteReference"/>
        </w:rPr>
        <w:footnoteRef/>
      </w:r>
      <w:r>
        <w:t xml:space="preserve"> Prunier, “Eritrean Question,” pp. 244-248; the ELF was liquidated the year after.</w:t>
      </w:r>
    </w:p>
  </w:footnote>
  <w:footnote w:id="170">
    <w:p w:rsidR="002B4254" w:rsidRDefault="002B4254">
      <w:pPr>
        <w:pStyle w:val="FootnoteText"/>
      </w:pPr>
      <w:r>
        <w:rPr>
          <w:rStyle w:val="FootnoteReference"/>
        </w:rPr>
        <w:footnoteRef/>
      </w:r>
      <w:r>
        <w:t xml:space="preserve"> Connell, “Inside the EPLF,” pp. 345-364</w:t>
      </w:r>
    </w:p>
  </w:footnote>
  <w:footnote w:id="171">
    <w:p w:rsidR="002B4254" w:rsidRDefault="002B4254">
      <w:pPr>
        <w:pStyle w:val="FootnoteText"/>
      </w:pPr>
      <w:r>
        <w:rPr>
          <w:rStyle w:val="FootnoteReference"/>
        </w:rPr>
        <w:footnoteRef/>
      </w:r>
      <w:r>
        <w:t xml:space="preserve"> Les Gottesman</w:t>
      </w:r>
      <w:r w:rsidRPr="00736697">
        <w:t>,</w:t>
      </w:r>
      <w:r>
        <w:t xml:space="preserve"> </w:t>
      </w:r>
      <w:r>
        <w:rPr>
          <w:i/>
        </w:rPr>
        <w:t>To Fight and Learn: The Praxis and Promise of Literacy in Eritrea’s Independence War</w:t>
      </w:r>
      <w:r w:rsidRPr="00AF2C90">
        <w:t>,</w:t>
      </w:r>
      <w:r>
        <w:t xml:space="preserve"> Red Sea Press, 1998, pp. 111-121</w:t>
      </w:r>
    </w:p>
  </w:footnote>
  <w:footnote w:id="172">
    <w:p w:rsidR="002B4254" w:rsidRDefault="002B4254" w:rsidP="00F15CB1">
      <w:pPr>
        <w:pStyle w:val="FootnoteText"/>
      </w:pPr>
      <w:r>
        <w:rPr>
          <w:rStyle w:val="FootnoteReference"/>
        </w:rPr>
        <w:footnoteRef/>
      </w:r>
      <w:r>
        <w:t xml:space="preserve"> Kjetil Tronvoll, “The Process of Nation-Building in Post-War Eritrea: Created from below or Directed from</w:t>
      </w:r>
    </w:p>
    <w:p w:rsidR="002B4254" w:rsidRDefault="002B4254" w:rsidP="00F15CB1">
      <w:pPr>
        <w:pStyle w:val="FootnoteText"/>
      </w:pPr>
      <w:r>
        <w:t xml:space="preserve">above?” </w:t>
      </w:r>
      <w:r>
        <w:rPr>
          <w:i/>
        </w:rPr>
        <w:t>The Journal of Modern African Studies</w:t>
      </w:r>
      <w:r>
        <w:t>, Vol. 36, No. 3 (Sept. 1998), pp. 474, 480-481</w:t>
      </w:r>
    </w:p>
  </w:footnote>
  <w:footnote w:id="173">
    <w:p w:rsidR="002B4254" w:rsidRDefault="002B4254">
      <w:pPr>
        <w:pStyle w:val="FootnoteText"/>
      </w:pPr>
      <w:r>
        <w:rPr>
          <w:rStyle w:val="FootnoteReference"/>
        </w:rPr>
        <w:footnoteRef/>
      </w:r>
      <w:r>
        <w:t xml:space="preserve"> Connell “Inside the EPLF,” pp. 353-355</w:t>
      </w:r>
    </w:p>
  </w:footnote>
  <w:footnote w:id="174">
    <w:p w:rsidR="002B4254" w:rsidRDefault="002B4254">
      <w:pPr>
        <w:pStyle w:val="FootnoteText"/>
      </w:pPr>
      <w:r>
        <w:rPr>
          <w:rStyle w:val="FootnoteReference"/>
        </w:rPr>
        <w:footnoteRef/>
      </w:r>
      <w:r>
        <w:t xml:space="preserve"> Prunier, “Eritrean Question,” pp. 246-247</w:t>
      </w:r>
    </w:p>
  </w:footnote>
  <w:footnote w:id="175">
    <w:p w:rsidR="002B4254" w:rsidRDefault="002B4254">
      <w:pPr>
        <w:pStyle w:val="FootnoteText"/>
      </w:pPr>
      <w:r>
        <w:rPr>
          <w:rStyle w:val="FootnoteReference"/>
        </w:rPr>
        <w:footnoteRef/>
      </w:r>
      <w:r>
        <w:t xml:space="preserve"> Connell, “Inside the EPLF,” p. 355</w:t>
      </w:r>
    </w:p>
  </w:footnote>
  <w:footnote w:id="176">
    <w:p w:rsidR="002B4254" w:rsidRDefault="002B4254">
      <w:pPr>
        <w:pStyle w:val="FootnoteText"/>
      </w:pPr>
      <w:r>
        <w:rPr>
          <w:rStyle w:val="FootnoteReference"/>
        </w:rPr>
        <w:footnoteRef/>
      </w:r>
      <w:r>
        <w:t xml:space="preserve"> Adam, Hussein M., “</w:t>
      </w:r>
      <w:r w:rsidRPr="00910007">
        <w:t>Formation and Recognition of New States: Somaliland in Contrast to Eritre</w:t>
      </w:r>
      <w:r>
        <w:t xml:space="preserve">a,” </w:t>
      </w:r>
      <w:r>
        <w:rPr>
          <w:i/>
        </w:rPr>
        <w:t>Review of African Political Economy</w:t>
      </w:r>
      <w:r>
        <w:t>, Vol. 21, No. 59, (March, 1994), pp. 29-31</w:t>
      </w:r>
    </w:p>
  </w:footnote>
  <w:footnote w:id="177">
    <w:p w:rsidR="002B4254" w:rsidRDefault="002B4254">
      <w:pPr>
        <w:pStyle w:val="FootnoteText"/>
      </w:pPr>
      <w:r>
        <w:rPr>
          <w:rStyle w:val="FootnoteReference"/>
        </w:rPr>
        <w:footnoteRef/>
      </w:r>
      <w:r>
        <w:t xml:space="preserve"> Prunier, “Eritrean Question,” p. 247</w:t>
      </w:r>
    </w:p>
  </w:footnote>
  <w:footnote w:id="178">
    <w:p w:rsidR="002B4254" w:rsidRDefault="002B4254">
      <w:pPr>
        <w:pStyle w:val="FootnoteText"/>
      </w:pPr>
      <w:r>
        <w:rPr>
          <w:rStyle w:val="FootnoteReference"/>
        </w:rPr>
        <w:footnoteRef/>
      </w:r>
      <w:r>
        <w:t xml:space="preserve"> Tronvoll, “The Process of Nation-Building in Post-War Eritrea,” pp. 465-470</w:t>
      </w:r>
    </w:p>
  </w:footnote>
  <w:footnote w:id="179">
    <w:p w:rsidR="002B4254" w:rsidRPr="009E78D1" w:rsidRDefault="002B4254" w:rsidP="009E78D1">
      <w:pPr>
        <w:pStyle w:val="FootnoteText"/>
      </w:pPr>
      <w:r>
        <w:rPr>
          <w:rStyle w:val="FootnoteReference"/>
        </w:rPr>
        <w:footnoteRef/>
      </w:r>
      <w:r>
        <w:t xml:space="preserve"> Kaatje Segers, Joost Dessein, Sten Hagberg, Patrick Develtere, Mitiku Haile, and Jozef Deck, “Be Like the Bees – The Politics of Mobilizing Farmers for Development in Tigray, Ethiopia,” </w:t>
      </w:r>
      <w:r>
        <w:rPr>
          <w:i/>
        </w:rPr>
        <w:t>African Affairs</w:t>
      </w:r>
      <w:r>
        <w:t>, Vol. 108, No. 403 (Jan. 2009), pp. 91-109</w:t>
      </w:r>
    </w:p>
  </w:footnote>
  <w:footnote w:id="180">
    <w:p w:rsidR="002B4254" w:rsidRPr="005332E2" w:rsidRDefault="002B4254">
      <w:pPr>
        <w:pStyle w:val="FootnoteText"/>
      </w:pPr>
      <w:r>
        <w:rPr>
          <w:rStyle w:val="FootnoteReference"/>
        </w:rPr>
        <w:footnoteRef/>
      </w:r>
      <w:r>
        <w:t xml:space="preserve"> Aregawi</w:t>
      </w:r>
      <w:r w:rsidRPr="008E4C7F">
        <w:t xml:space="preserve"> </w:t>
      </w:r>
      <w:r>
        <w:t xml:space="preserve">Berhe, “The Origins of the Tigray People’s Liberation Front,” </w:t>
      </w:r>
      <w:r>
        <w:rPr>
          <w:i/>
        </w:rPr>
        <w:t>African Affairs</w:t>
      </w:r>
      <w:r>
        <w:t>, Vol. 103, No. 413 (Oct. 2004), pp. 569-592</w:t>
      </w:r>
    </w:p>
  </w:footnote>
  <w:footnote w:id="181">
    <w:p w:rsidR="002B4254" w:rsidRDefault="002B4254">
      <w:pPr>
        <w:pStyle w:val="FootnoteText"/>
      </w:pPr>
      <w:r>
        <w:rPr>
          <w:rStyle w:val="FootnoteReference"/>
        </w:rPr>
        <w:footnoteRef/>
      </w:r>
      <w:r>
        <w:t xml:space="preserve"> Young, “Peasants and Revolution,” pp. 273-274; the first baito appeared in 1980.</w:t>
      </w:r>
    </w:p>
  </w:footnote>
  <w:footnote w:id="182">
    <w:p w:rsidR="002B4254" w:rsidRDefault="002B4254">
      <w:pPr>
        <w:pStyle w:val="FootnoteText"/>
      </w:pPr>
      <w:r>
        <w:rPr>
          <w:rStyle w:val="FootnoteReference"/>
        </w:rPr>
        <w:footnoteRef/>
      </w:r>
      <w:r>
        <w:t xml:space="preserve"> Segers et al, “Be Like the Bees,” pp. 95-96</w:t>
      </w:r>
    </w:p>
  </w:footnote>
  <w:footnote w:id="183">
    <w:p w:rsidR="002B4254" w:rsidRDefault="002B4254">
      <w:pPr>
        <w:pStyle w:val="FootnoteText"/>
      </w:pPr>
      <w:r>
        <w:rPr>
          <w:rStyle w:val="FootnoteReference"/>
        </w:rPr>
        <w:footnoteRef/>
      </w:r>
      <w:r>
        <w:t xml:space="preserve"> Young, “Peasants and Revolution,” pp. 204-205</w:t>
      </w:r>
    </w:p>
  </w:footnote>
  <w:footnote w:id="184">
    <w:p w:rsidR="002B4254" w:rsidRDefault="002B4254">
      <w:pPr>
        <w:pStyle w:val="FootnoteText"/>
      </w:pPr>
      <w:r>
        <w:rPr>
          <w:rStyle w:val="FootnoteReference"/>
        </w:rPr>
        <w:footnoteRef/>
      </w:r>
      <w:r>
        <w:t xml:space="preserve"> Segers et al, “Be Like the Bees,” pp. 95-96</w:t>
      </w:r>
    </w:p>
  </w:footnote>
  <w:footnote w:id="185">
    <w:p w:rsidR="002B4254" w:rsidRDefault="002B4254">
      <w:pPr>
        <w:pStyle w:val="FootnoteText"/>
      </w:pPr>
      <w:r>
        <w:rPr>
          <w:rStyle w:val="FootnoteReference"/>
        </w:rPr>
        <w:footnoteRef/>
      </w:r>
      <w:r>
        <w:t xml:space="preserve"> Young, “Peasants and Revolution,” pp. 204-205</w:t>
      </w:r>
    </w:p>
  </w:footnote>
  <w:footnote w:id="186">
    <w:p w:rsidR="002B4254" w:rsidRDefault="002B4254">
      <w:pPr>
        <w:pStyle w:val="FootnoteText"/>
      </w:pPr>
      <w:r>
        <w:rPr>
          <w:rStyle w:val="FootnoteReference"/>
        </w:rPr>
        <w:footnoteRef/>
      </w:r>
      <w:r>
        <w:t xml:space="preserve"> Segers et al, “Be Like the Bees,” pp. 95-96</w:t>
      </w:r>
    </w:p>
  </w:footnote>
  <w:footnote w:id="187">
    <w:p w:rsidR="002B4254" w:rsidRPr="00211B66" w:rsidRDefault="002B4254" w:rsidP="00D21241">
      <w:pPr>
        <w:pStyle w:val="FootnoteText"/>
        <w:rPr>
          <w:i/>
        </w:rPr>
      </w:pPr>
      <w:r>
        <w:rPr>
          <w:rStyle w:val="FootnoteReference"/>
        </w:rPr>
        <w:footnoteRef/>
      </w:r>
      <w:r>
        <w:t xml:space="preserve"> Volker Matthies, “Der Ogadenkrieg zwischen Somalia und Äthiopien von 1977/78: Ursachen, Verlauf und Folgen,” </w:t>
      </w:r>
      <w:r>
        <w:rPr>
          <w:i/>
        </w:rPr>
        <w:t>Africa Spectrum</w:t>
      </w:r>
      <w:r>
        <w:t>, Vol. 22, No. 3 (1987), pp. 237-253</w:t>
      </w:r>
      <w:r>
        <w:rPr>
          <w:i/>
        </w:rPr>
        <w:t xml:space="preserve"> </w:t>
      </w:r>
    </w:p>
  </w:footnote>
  <w:footnote w:id="188">
    <w:p w:rsidR="002B4254" w:rsidRPr="00A6735C" w:rsidRDefault="002B4254">
      <w:pPr>
        <w:pStyle w:val="FootnoteText"/>
      </w:pPr>
      <w:r>
        <w:rPr>
          <w:rStyle w:val="FootnoteReference"/>
        </w:rPr>
        <w:footnoteRef/>
      </w:r>
      <w:r>
        <w:t xml:space="preserve"> Gérard</w:t>
      </w:r>
      <w:r w:rsidRPr="008E4C7F">
        <w:t xml:space="preserve"> </w:t>
      </w:r>
      <w:r>
        <w:t xml:space="preserve">Prunier, “The Ethiopian Revolution and the Derg Regime,” </w:t>
      </w:r>
      <w:r>
        <w:rPr>
          <w:i/>
        </w:rPr>
        <w:t>Understanding Contemporary Ethiopia: Monarchy, Revolution and the Legacy of Meles Zenawi</w:t>
      </w:r>
      <w:r>
        <w:t>, Hurst &amp; Co., 2015, pp. 220-222</w:t>
      </w:r>
    </w:p>
  </w:footnote>
  <w:footnote w:id="189">
    <w:p w:rsidR="002B4254" w:rsidRDefault="002B4254">
      <w:pPr>
        <w:pStyle w:val="FootnoteText"/>
      </w:pPr>
      <w:r>
        <w:rPr>
          <w:rStyle w:val="FootnoteReference"/>
        </w:rPr>
        <w:footnoteRef/>
      </w:r>
      <w:r>
        <w:t xml:space="preserve"> Gebru Tareke, “The Ethiopia-Somalia War of 1977 Revisited,” </w:t>
      </w:r>
      <w:r>
        <w:rPr>
          <w:i/>
        </w:rPr>
        <w:t>The International Journal of African Historical Studies</w:t>
      </w:r>
      <w:r>
        <w:t>, Vol. 33, No. 3 (2000), pp. 639-642</w:t>
      </w:r>
    </w:p>
  </w:footnote>
  <w:footnote w:id="190">
    <w:p w:rsidR="002B4254" w:rsidRDefault="002B4254">
      <w:pPr>
        <w:pStyle w:val="FootnoteText"/>
      </w:pPr>
      <w:r>
        <w:rPr>
          <w:rStyle w:val="FootnoteReference"/>
        </w:rPr>
        <w:footnoteRef/>
      </w:r>
      <w:r>
        <w:t xml:space="preserve"> Ibid., p. 663</w:t>
      </w:r>
    </w:p>
  </w:footnote>
  <w:footnote w:id="191">
    <w:p w:rsidR="002B4254" w:rsidRDefault="002B4254">
      <w:pPr>
        <w:pStyle w:val="FootnoteText"/>
      </w:pPr>
      <w:r>
        <w:rPr>
          <w:rStyle w:val="FootnoteReference"/>
        </w:rPr>
        <w:footnoteRef/>
      </w:r>
      <w:r>
        <w:t xml:space="preserve"> </w:t>
      </w:r>
      <w:r w:rsidRPr="00CC6485">
        <w:t>Kolstø</w:t>
      </w:r>
      <w:r>
        <w:t xml:space="preserve"> and Blakkisrud, “Living with Non-Recognition,” pp. 485-486</w:t>
      </w:r>
    </w:p>
  </w:footnote>
  <w:footnote w:id="192">
    <w:p w:rsidR="002B4254" w:rsidRDefault="002B4254">
      <w:pPr>
        <w:pStyle w:val="FootnoteText"/>
      </w:pPr>
      <w:r>
        <w:rPr>
          <w:rStyle w:val="FootnoteReference"/>
        </w:rPr>
        <w:footnoteRef/>
      </w:r>
      <w:r>
        <w:t xml:space="preserve"> Ibid. pp. 488-489</w:t>
      </w:r>
    </w:p>
  </w:footnote>
  <w:footnote w:id="193">
    <w:p w:rsidR="002B4254" w:rsidRDefault="002B4254">
      <w:pPr>
        <w:pStyle w:val="FootnoteText"/>
      </w:pPr>
      <w:r>
        <w:rPr>
          <w:rStyle w:val="FootnoteReference"/>
        </w:rPr>
        <w:footnoteRef/>
      </w:r>
      <w:r>
        <w:t xml:space="preserve"> Tom Trier, Hedvig Lohm, and David Szakonyi, </w:t>
      </w:r>
      <w:r>
        <w:rPr>
          <w:i/>
        </w:rPr>
        <w:t>Under Siege: Inter-Ethnic Relations in Abkhazia</w:t>
      </w:r>
      <w:r>
        <w:t>, Columbia University Press, 2010, p. 7</w:t>
      </w:r>
    </w:p>
  </w:footnote>
  <w:footnote w:id="194">
    <w:p w:rsidR="002B4254" w:rsidRDefault="002B4254">
      <w:pPr>
        <w:pStyle w:val="FootnoteText"/>
      </w:pPr>
      <w:r>
        <w:rPr>
          <w:rStyle w:val="FootnoteReference"/>
        </w:rPr>
        <w:footnoteRef/>
      </w:r>
      <w:r>
        <w:t xml:space="preserve"> Ibid. pp. 58-66</w:t>
      </w:r>
    </w:p>
  </w:footnote>
  <w:footnote w:id="195">
    <w:p w:rsidR="002B4254" w:rsidRDefault="002B4254">
      <w:pPr>
        <w:pStyle w:val="FootnoteText"/>
      </w:pPr>
      <w:r>
        <w:rPr>
          <w:rStyle w:val="FootnoteReference"/>
        </w:rPr>
        <w:footnoteRef/>
      </w:r>
      <w:r>
        <w:t xml:space="preserve"> Jurij Anchabadze, “History: The Modern Period,” </w:t>
      </w:r>
      <w:r>
        <w:rPr>
          <w:i/>
        </w:rPr>
        <w:t>The Abkhazians: A Handbook</w:t>
      </w:r>
      <w:r>
        <w:t>, ed. George Hewitt, St. Martin’s Press, 1998, pp. 135-138, 146 (132-146)</w:t>
      </w:r>
    </w:p>
  </w:footnote>
  <w:footnote w:id="196">
    <w:p w:rsidR="002B4254" w:rsidRDefault="002B4254">
      <w:pPr>
        <w:pStyle w:val="FootnoteText"/>
      </w:pPr>
      <w:r>
        <w:rPr>
          <w:rStyle w:val="FootnoteReference"/>
        </w:rPr>
        <w:footnoteRef/>
      </w:r>
      <w:r>
        <w:t xml:space="preserve"> Trier et al, </w:t>
      </w:r>
      <w:r>
        <w:rPr>
          <w:i/>
        </w:rPr>
        <w:t>Under Siege</w:t>
      </w:r>
      <w:r>
        <w:t>, pp. 87-88, 94</w:t>
      </w:r>
    </w:p>
  </w:footnote>
  <w:footnote w:id="197">
    <w:p w:rsidR="002B4254" w:rsidRDefault="002B4254">
      <w:pPr>
        <w:pStyle w:val="FootnoteText"/>
      </w:pPr>
      <w:r>
        <w:rPr>
          <w:rStyle w:val="FootnoteReference"/>
        </w:rPr>
        <w:footnoteRef/>
      </w:r>
      <w:r>
        <w:t xml:space="preserve"> Svetlana Chervonnaya, </w:t>
      </w:r>
      <w:r>
        <w:rPr>
          <w:i/>
        </w:rPr>
        <w:t xml:space="preserve">Conflict in the Caucasus: Georgia, Abkhazia and the Russian </w:t>
      </w:r>
      <w:r w:rsidRPr="00697DF9">
        <w:t>Shadow</w:t>
      </w:r>
      <w:r>
        <w:t xml:space="preserve">, Trans. By Ariane Chanturia (Glastonbury, UK: Gothic Image Publications, 1994), </w:t>
      </w:r>
      <w:r w:rsidRPr="00697DF9">
        <w:t>105</w:t>
      </w:r>
      <w:r>
        <w:t>-114.</w:t>
      </w:r>
    </w:p>
  </w:footnote>
  <w:footnote w:id="198">
    <w:p w:rsidR="002B4254" w:rsidRPr="00B83782" w:rsidRDefault="002B4254">
      <w:pPr>
        <w:pStyle w:val="FootnoteText"/>
      </w:pPr>
      <w:r>
        <w:rPr>
          <w:rStyle w:val="FootnoteReference"/>
        </w:rPr>
        <w:footnoteRef/>
      </w:r>
      <w:r>
        <w:t xml:space="preserve"> Marietta S. </w:t>
      </w:r>
      <w:r w:rsidRPr="00B83782">
        <w:t xml:space="preserve">König, </w:t>
      </w:r>
      <w:r>
        <w:t>“</w:t>
      </w:r>
      <w:r w:rsidRPr="00B83782">
        <w:t>The Georgian-South Ossetian Conflict,</w:t>
      </w:r>
      <w:r>
        <w:t xml:space="preserve">” </w:t>
      </w:r>
      <w:r w:rsidRPr="00BA4CDF">
        <w:t>Institute for Peace Research and Security Policy at the University of Hamburg/IFSH,</w:t>
      </w:r>
      <w:r w:rsidRPr="00B83782">
        <w:t xml:space="preserve"> </w:t>
      </w:r>
      <w:r w:rsidRPr="00BA4CDF">
        <w:rPr>
          <w:i/>
        </w:rPr>
        <w:t>OSCE-Yearbook 2004</w:t>
      </w:r>
      <w:r w:rsidRPr="00B83782">
        <w:t>, No. 10, Baden-Baden 2005</w:t>
      </w:r>
      <w:r>
        <w:t>, pp. 240-241</w:t>
      </w:r>
    </w:p>
  </w:footnote>
  <w:footnote w:id="199">
    <w:p w:rsidR="002B4254" w:rsidRDefault="002B4254">
      <w:pPr>
        <w:pStyle w:val="FootnoteText"/>
      </w:pPr>
      <w:r>
        <w:rPr>
          <w:rStyle w:val="FootnoteReference"/>
        </w:rPr>
        <w:footnoteRef/>
      </w:r>
      <w:r>
        <w:t xml:space="preserve"> Charles T. Call, </w:t>
      </w:r>
      <w:r>
        <w:rPr>
          <w:i/>
        </w:rPr>
        <w:t>Why Peace Fails: The Causes and Prevention of Civil War Recurrence</w:t>
      </w:r>
      <w:r>
        <w:t>, Georgetown University Press, 2012, pp. 111-112; The elections took place in December of 1990 and the war began in January 1991</w:t>
      </w:r>
    </w:p>
  </w:footnote>
  <w:footnote w:id="200">
    <w:p w:rsidR="002B4254" w:rsidRDefault="002B4254">
      <w:pPr>
        <w:pStyle w:val="FootnoteText"/>
      </w:pPr>
      <w:r>
        <w:rPr>
          <w:rStyle w:val="FootnoteReference"/>
        </w:rPr>
        <w:footnoteRef/>
      </w:r>
      <w:r>
        <w:t xml:space="preserve"> </w:t>
      </w:r>
      <w:r w:rsidRPr="00CC6485">
        <w:t>Kolstø</w:t>
      </w:r>
      <w:r>
        <w:t xml:space="preserve"> and Blakkisrud, “Living with Non-Recognition,” pp. 504-505 </w:t>
      </w:r>
    </w:p>
  </w:footnote>
  <w:footnote w:id="201">
    <w:p w:rsidR="002B4254" w:rsidRDefault="002B4254">
      <w:pPr>
        <w:pStyle w:val="FootnoteText"/>
      </w:pPr>
      <w:r>
        <w:rPr>
          <w:rStyle w:val="FootnoteReference"/>
        </w:rPr>
        <w:footnoteRef/>
      </w:r>
      <w:r>
        <w:t xml:space="preserve"> Per Gahrton, </w:t>
      </w:r>
      <w:r>
        <w:rPr>
          <w:i/>
        </w:rPr>
        <w:t>Georgia: Pawn in the New Great Game</w:t>
      </w:r>
      <w:r>
        <w:t>, Pluto Press, 2010, pp. 59-60</w:t>
      </w:r>
    </w:p>
  </w:footnote>
  <w:footnote w:id="202">
    <w:p w:rsidR="002B4254" w:rsidRDefault="002B4254">
      <w:pPr>
        <w:pStyle w:val="FootnoteText"/>
      </w:pPr>
      <w:r>
        <w:rPr>
          <w:rStyle w:val="FootnoteReference"/>
        </w:rPr>
        <w:footnoteRef/>
      </w:r>
      <w:r>
        <w:t xml:space="preserve"> Marietta S. </w:t>
      </w:r>
      <w:r w:rsidRPr="00B83782">
        <w:t xml:space="preserve">König, </w:t>
      </w:r>
      <w:r>
        <w:t>“Not frozen but Red Hot: Conflict Resolution in Georgia Following the Change of Government</w:t>
      </w:r>
      <w:r w:rsidRPr="00B83782">
        <w:t>,</w:t>
      </w:r>
      <w:r>
        <w:t xml:space="preserve">” </w:t>
      </w:r>
      <w:r w:rsidRPr="00BA4CDF">
        <w:t>Institute for Peace Research and Security Policy at the University of Hamburg/IFSH,</w:t>
      </w:r>
      <w:r w:rsidRPr="00B83782">
        <w:t xml:space="preserve"> </w:t>
      </w:r>
      <w:r w:rsidRPr="00BA4CDF">
        <w:rPr>
          <w:i/>
        </w:rPr>
        <w:t>OSCE-Yearbook 200</w:t>
      </w:r>
      <w:r>
        <w:rPr>
          <w:i/>
        </w:rPr>
        <w:t>6</w:t>
      </w:r>
      <w:r w:rsidRPr="00B83782">
        <w:t>, No. 1</w:t>
      </w:r>
      <w:r>
        <w:t>2</w:t>
      </w:r>
      <w:r w:rsidRPr="00B83782">
        <w:t>, Baden-Baden 200</w:t>
      </w:r>
      <w:r>
        <w:t>7, pp. 86-88</w:t>
      </w:r>
    </w:p>
  </w:footnote>
  <w:footnote w:id="203">
    <w:p w:rsidR="002B4254" w:rsidRDefault="002B4254">
      <w:pPr>
        <w:pStyle w:val="FootnoteText"/>
      </w:pPr>
      <w:r>
        <w:rPr>
          <w:rStyle w:val="FootnoteReference"/>
        </w:rPr>
        <w:footnoteRef/>
      </w:r>
      <w:r>
        <w:t xml:space="preserve"> König, “Georgian-South Ossetian Conflict,” pp. 238-244</w:t>
      </w:r>
    </w:p>
  </w:footnote>
  <w:footnote w:id="204">
    <w:p w:rsidR="002B4254" w:rsidRDefault="002B4254">
      <w:pPr>
        <w:pStyle w:val="FootnoteText"/>
      </w:pPr>
      <w:r>
        <w:rPr>
          <w:rStyle w:val="FootnoteReference"/>
        </w:rPr>
        <w:footnoteRef/>
      </w:r>
      <w:r>
        <w:t xml:space="preserve"> Tido von Schoen-Angerer, “Understanding health care in the south Caucasus: examples from Armenia,” </w:t>
      </w:r>
      <w:r>
        <w:rPr>
          <w:i/>
        </w:rPr>
        <w:t>British Medical Journal</w:t>
      </w:r>
      <w:r>
        <w:t xml:space="preserve">, Vol. 329, No. 7465 (Sept. 4, 2004), pp. 562-565 </w:t>
      </w:r>
    </w:p>
  </w:footnote>
  <w:footnote w:id="205">
    <w:p w:rsidR="002B4254" w:rsidRDefault="002B4254">
      <w:pPr>
        <w:pStyle w:val="FootnoteText"/>
      </w:pPr>
      <w:r>
        <w:rPr>
          <w:rStyle w:val="FootnoteReference"/>
        </w:rPr>
        <w:footnoteRef/>
      </w:r>
      <w:r>
        <w:t xml:space="preserve"> </w:t>
      </w:r>
      <w:r w:rsidRPr="00CC6485">
        <w:t>Kolstø</w:t>
      </w:r>
      <w:r>
        <w:t xml:space="preserve"> and Blakkisrud, “Living with Non-Recognition,” pp. 497-498</w:t>
      </w:r>
    </w:p>
  </w:footnote>
  <w:footnote w:id="206">
    <w:p w:rsidR="002B4254" w:rsidRPr="00380919" w:rsidRDefault="002B4254" w:rsidP="004F47ED">
      <w:pPr>
        <w:pStyle w:val="FootnoteText"/>
      </w:pPr>
      <w:r>
        <w:rPr>
          <w:rStyle w:val="FootnoteReference"/>
        </w:rPr>
        <w:footnoteRef/>
      </w:r>
      <w:r>
        <w:t xml:space="preserve"> Tom Barry, </w:t>
      </w:r>
      <w:r>
        <w:rPr>
          <w:i/>
        </w:rPr>
        <w:t>Inside Guatemala</w:t>
      </w:r>
      <w:r>
        <w:t>, Inter-Hemispheric Education Resource Center, 1992, pp. 65-71</w:t>
      </w:r>
    </w:p>
  </w:footnote>
  <w:footnote w:id="207">
    <w:p w:rsidR="002B4254" w:rsidRDefault="002B4254" w:rsidP="004F47ED">
      <w:pPr>
        <w:pStyle w:val="FootnoteText"/>
      </w:pPr>
      <w:r>
        <w:rPr>
          <w:rStyle w:val="FootnoteReference"/>
        </w:rPr>
        <w:footnoteRef/>
      </w:r>
      <w:r>
        <w:t xml:space="preserve"> Philip J. Williams and J. Mark Ruhl, “</w:t>
      </w:r>
      <w:r w:rsidRPr="00DD62DA">
        <w:t>Demilitarization after Central American Civil Wars</w:t>
      </w:r>
      <w:r>
        <w:t xml:space="preserve">,” </w:t>
      </w:r>
      <w:r>
        <w:rPr>
          <w:i/>
        </w:rPr>
        <w:t>Demilitarization in the Contemporary World</w:t>
      </w:r>
      <w:r>
        <w:t>, ed. Peter N. Stearns, University of Illinois Press, 2013, p. 229</w:t>
      </w:r>
    </w:p>
  </w:footnote>
  <w:footnote w:id="208">
    <w:p w:rsidR="002B4254" w:rsidRDefault="002B4254" w:rsidP="004F47ED">
      <w:pPr>
        <w:pStyle w:val="FootnoteText"/>
      </w:pPr>
      <w:r>
        <w:rPr>
          <w:rStyle w:val="FootnoteReference"/>
        </w:rPr>
        <w:footnoteRef/>
      </w:r>
      <w:r>
        <w:t xml:space="preserve"> Daniel Wilkinson, </w:t>
      </w:r>
      <w:r>
        <w:rPr>
          <w:i/>
        </w:rPr>
        <w:t>Silence on the Mountain: Stories of Terror, Betrayal, and Forgetting in Guatemala</w:t>
      </w:r>
      <w:r>
        <w:t>, Houghton Mifflin, 2002, pp. 217-251; Wilkinson’s interviews demonstrate the degree to which Guatemala’s military exercised de jure and de facto control of territory, even where guerillas were operating.</w:t>
      </w:r>
    </w:p>
  </w:footnote>
  <w:footnote w:id="209">
    <w:p w:rsidR="002B4254" w:rsidRDefault="002B4254" w:rsidP="004F47ED">
      <w:pPr>
        <w:pStyle w:val="FootnoteText"/>
      </w:pPr>
      <w:r>
        <w:rPr>
          <w:rStyle w:val="FootnoteReference"/>
        </w:rPr>
        <w:footnoteRef/>
      </w:r>
      <w:r>
        <w:t xml:space="preserve"> Chandra Lekha Sririam, </w:t>
      </w:r>
      <w:r>
        <w:rPr>
          <w:i/>
        </w:rPr>
        <w:t>Peace as Governance: Power-Sharing, Armed Groups and Contemporary Peace Negotiations</w:t>
      </w:r>
      <w:r>
        <w:t>, Palgrave Macmillan, 2008, pp. 48-49</w:t>
      </w:r>
    </w:p>
  </w:footnote>
  <w:footnote w:id="210">
    <w:p w:rsidR="002B4254" w:rsidRDefault="002B4254" w:rsidP="004F47ED">
      <w:pPr>
        <w:pStyle w:val="FootnoteText"/>
      </w:pPr>
      <w:r>
        <w:rPr>
          <w:rStyle w:val="FootnoteReference"/>
        </w:rPr>
        <w:footnoteRef/>
      </w:r>
      <w:r>
        <w:t xml:space="preserve"> Francis Adams, </w:t>
      </w:r>
      <w:r>
        <w:rPr>
          <w:i/>
        </w:rPr>
        <w:t>Deepening Democracy: Global Governance and Political Reform in Latin America</w:t>
      </w:r>
      <w:r>
        <w:t>, Praeger, 2003, pp. 45-47</w:t>
      </w:r>
    </w:p>
  </w:footnote>
  <w:footnote w:id="211">
    <w:p w:rsidR="002B4254" w:rsidRDefault="002B4254" w:rsidP="004F47ED">
      <w:pPr>
        <w:pStyle w:val="FootnoteText"/>
      </w:pPr>
      <w:r>
        <w:rPr>
          <w:rStyle w:val="FootnoteReference"/>
        </w:rPr>
        <w:footnoteRef/>
      </w:r>
      <w:r>
        <w:t xml:space="preserve"> Roman Krznaric, “Civil and Uncivil Actors in the Guatemalan Peace Process,” </w:t>
      </w:r>
      <w:r>
        <w:rPr>
          <w:i/>
        </w:rPr>
        <w:t>Bulletin of Latin American Research</w:t>
      </w:r>
      <w:r>
        <w:t>, Vol. 18, No. 1 (Jan., 1999), pp. 9-10</w:t>
      </w:r>
    </w:p>
  </w:footnote>
  <w:footnote w:id="212">
    <w:p w:rsidR="002B4254" w:rsidRDefault="002B4254" w:rsidP="004F47ED">
      <w:pPr>
        <w:pStyle w:val="FootnoteText"/>
      </w:pPr>
      <w:r>
        <w:rPr>
          <w:rStyle w:val="FootnoteReference"/>
        </w:rPr>
        <w:footnoteRef/>
      </w:r>
      <w:r>
        <w:t xml:space="preserve"> Timothy P. Wickham Crowley, “The Rise (And Sometimes Fall) of Guerilla Governments in Latin America,” </w:t>
      </w:r>
      <w:r>
        <w:rPr>
          <w:i/>
        </w:rPr>
        <w:t>Sociological Forum</w:t>
      </w:r>
      <w:r>
        <w:t xml:space="preserve"> 2, No. 3 (1987), 485-487.</w:t>
      </w:r>
    </w:p>
  </w:footnote>
  <w:footnote w:id="213">
    <w:p w:rsidR="002B4254" w:rsidRDefault="002B4254" w:rsidP="004F47ED">
      <w:pPr>
        <w:pStyle w:val="FootnoteText"/>
      </w:pPr>
      <w:r>
        <w:rPr>
          <w:rStyle w:val="FootnoteReference"/>
        </w:rPr>
        <w:footnoteRef/>
      </w:r>
      <w:r>
        <w:t xml:space="preserve"> Richard Gott, “Part One: Soldiers and Peasants in Guatemala” in </w:t>
      </w:r>
      <w:r>
        <w:rPr>
          <w:i/>
        </w:rPr>
        <w:t>Rural Guerillas in Latin America</w:t>
      </w:r>
      <w:r>
        <w:t>, (Middlesex, UK: Penguin Books Limited, 1973), 93-99.</w:t>
      </w:r>
    </w:p>
  </w:footnote>
  <w:footnote w:id="214">
    <w:p w:rsidR="002B4254" w:rsidRPr="00BB7E23" w:rsidRDefault="002B4254" w:rsidP="004F47ED">
      <w:pPr>
        <w:pStyle w:val="FootnoteText"/>
      </w:pPr>
      <w:r>
        <w:rPr>
          <w:rStyle w:val="FootnoteReference"/>
        </w:rPr>
        <w:footnoteRef/>
      </w:r>
      <w:r>
        <w:t xml:space="preserve"> Adolfo Gilly, “The Guerilla Movement in Guatemala, Part II,” </w:t>
      </w:r>
      <w:r>
        <w:rPr>
          <w:i/>
        </w:rPr>
        <w:t>The Monthly Review</w:t>
      </w:r>
      <w:r>
        <w:t xml:space="preserve"> 17, No. 2 (1965), 14-18.</w:t>
      </w:r>
    </w:p>
  </w:footnote>
  <w:footnote w:id="215">
    <w:p w:rsidR="002B4254" w:rsidRDefault="002B4254" w:rsidP="004F47ED">
      <w:pPr>
        <w:pStyle w:val="FootnoteText"/>
      </w:pPr>
      <w:r>
        <w:rPr>
          <w:rStyle w:val="FootnoteReference"/>
        </w:rPr>
        <w:footnoteRef/>
      </w:r>
      <w:r>
        <w:t xml:space="preserve"> William D. McGill II, </w:t>
      </w:r>
      <w:r>
        <w:rPr>
          <w:i/>
        </w:rPr>
        <w:t>The Guatemalan Counterinsurgency Strategy</w:t>
      </w:r>
      <w:r>
        <w:t xml:space="preserve"> (Carlisle, PA: US War College, 1989), 11-13.</w:t>
      </w:r>
    </w:p>
  </w:footnote>
  <w:footnote w:id="216">
    <w:p w:rsidR="002B4254" w:rsidRDefault="002B4254" w:rsidP="004F47ED">
      <w:pPr>
        <w:pStyle w:val="FootnoteText"/>
      </w:pPr>
      <w:r>
        <w:rPr>
          <w:rStyle w:val="FootnoteReference"/>
        </w:rPr>
        <w:footnoteRef/>
      </w:r>
      <w:r>
        <w:t xml:space="preserve"> </w:t>
      </w:r>
      <w:r w:rsidRPr="00770E4A">
        <w:t>Mario M. Hernandez Ponce</w:t>
      </w:r>
      <w:r>
        <w:t xml:space="preserve">, </w:t>
      </w:r>
      <w:r w:rsidRPr="008C5B01">
        <w:rPr>
          <w:i/>
        </w:rPr>
        <w:t>Insurgency and Counterinsurgency in Guatemala</w:t>
      </w:r>
      <w:r>
        <w:t xml:space="preserve"> (Carlisle, PA: US War College, 1991), 12-13.</w:t>
      </w:r>
    </w:p>
  </w:footnote>
  <w:footnote w:id="217">
    <w:p w:rsidR="002B4254" w:rsidRDefault="002B4254" w:rsidP="004F47ED">
      <w:pPr>
        <w:pStyle w:val="FootnoteText"/>
      </w:pPr>
      <w:r>
        <w:rPr>
          <w:rStyle w:val="FootnoteReference"/>
        </w:rPr>
        <w:footnoteRef/>
      </w:r>
      <w:r>
        <w:t xml:space="preserve"> Dirk Kruijt, “Exercises in State Terrorism: The Counter-Insurgency Campaigns in Guatemala and Peru” in </w:t>
      </w:r>
      <w:r>
        <w:rPr>
          <w:i/>
        </w:rPr>
        <w:t>Societies of Fear: The Legacy of Civil War, Violence and Terror in Latin</w:t>
      </w:r>
      <w:r w:rsidRPr="001E2130">
        <w:rPr>
          <w:i/>
        </w:rPr>
        <w:t xml:space="preserve"> America</w:t>
      </w:r>
      <w:r>
        <w:t xml:space="preserve">, edited by Kees Koonings and Dirk Kruijt, (New York: Zed Books, 1999), </w:t>
      </w:r>
      <w:r w:rsidRPr="001E2130">
        <w:t>47</w:t>
      </w:r>
      <w:r>
        <w:t>-49.</w:t>
      </w:r>
    </w:p>
  </w:footnote>
  <w:footnote w:id="218">
    <w:p w:rsidR="002B4254" w:rsidRDefault="002B4254" w:rsidP="004F47ED">
      <w:pPr>
        <w:pStyle w:val="FootnoteText"/>
      </w:pPr>
      <w:r>
        <w:rPr>
          <w:rStyle w:val="FootnoteReference"/>
        </w:rPr>
        <w:footnoteRef/>
      </w:r>
      <w:r>
        <w:t xml:space="preserve"> Timothy P. Wickham-Crowley, </w:t>
      </w:r>
      <w:r>
        <w:rPr>
          <w:i/>
        </w:rPr>
        <w:t>Guerillas and Revolution in Latin America: A Comparative Study of Insurgents and Regimes Since 1956</w:t>
      </w:r>
      <w:r>
        <w:t xml:space="preserve"> (Princeton: Princeton University Press, 1992), 241.</w:t>
      </w:r>
    </w:p>
  </w:footnote>
  <w:footnote w:id="219">
    <w:p w:rsidR="002B4254" w:rsidRDefault="002B4254" w:rsidP="004F47ED">
      <w:pPr>
        <w:pStyle w:val="FootnoteText"/>
      </w:pPr>
      <w:r>
        <w:rPr>
          <w:rStyle w:val="FootnoteReference"/>
        </w:rPr>
        <w:footnoteRef/>
      </w:r>
      <w:r>
        <w:t xml:space="preserve"> “46. The People Become Guerillas,” trans. Jonathan Fried, in </w:t>
      </w:r>
      <w:r>
        <w:rPr>
          <w:i/>
        </w:rPr>
        <w:t>Guatemala in Rebellion: Unfinished History</w:t>
      </w:r>
      <w:r>
        <w:t>, edited by Jonathan L. Fried, Marvin E. Gettleman, Deborah T. Levenson, and Nancy Peckenham (New York: Grove Press Inc., 1983), 276-278.</w:t>
      </w:r>
    </w:p>
  </w:footnote>
  <w:footnote w:id="220">
    <w:p w:rsidR="002B4254" w:rsidRDefault="002B4254" w:rsidP="004F47ED">
      <w:pPr>
        <w:pStyle w:val="FootnoteText"/>
      </w:pPr>
      <w:r>
        <w:rPr>
          <w:rStyle w:val="FootnoteReference"/>
        </w:rPr>
        <w:footnoteRef/>
      </w:r>
      <w:r>
        <w:t xml:space="preserve"> McGill, </w:t>
      </w:r>
      <w:r>
        <w:rPr>
          <w:i/>
        </w:rPr>
        <w:t>The Guatemalan Counterinsurgency Strategy</w:t>
      </w:r>
      <w:r>
        <w:t>, 15-17.</w:t>
      </w:r>
    </w:p>
  </w:footnote>
  <w:footnote w:id="221">
    <w:p w:rsidR="002B4254" w:rsidRDefault="002B4254" w:rsidP="004F47ED">
      <w:pPr>
        <w:pStyle w:val="FootnoteText"/>
      </w:pPr>
      <w:r>
        <w:rPr>
          <w:rStyle w:val="FootnoteReference"/>
        </w:rPr>
        <w:footnoteRef/>
      </w:r>
      <w:r>
        <w:t xml:space="preserve"> Christopher Paul, Colin P. Clarke, Beth Grill and Molly Dunigan, “Guatemala, 1960-1996 Case Outcome: COIN Win” in </w:t>
      </w:r>
      <w:r>
        <w:rPr>
          <w:i/>
        </w:rPr>
        <w:t xml:space="preserve">Paths to Victory: Detailed Insurgency Case </w:t>
      </w:r>
      <w:r w:rsidRPr="00964C55">
        <w:rPr>
          <w:i/>
        </w:rPr>
        <w:t>Studies</w:t>
      </w:r>
      <w:r>
        <w:rPr>
          <w:i/>
        </w:rPr>
        <w:t xml:space="preserve"> </w:t>
      </w:r>
      <w:r>
        <w:t xml:space="preserve">(Santa Monica, CA: RAND Corporation, 2013), </w:t>
      </w:r>
      <w:r w:rsidRPr="00964C55">
        <w:t>141-1</w:t>
      </w:r>
      <w:r>
        <w:t>44.</w:t>
      </w:r>
    </w:p>
  </w:footnote>
  <w:footnote w:id="222">
    <w:p w:rsidR="002B4254" w:rsidRDefault="002B4254" w:rsidP="004F47ED">
      <w:pPr>
        <w:pStyle w:val="FootnoteText"/>
      </w:pPr>
      <w:r>
        <w:rPr>
          <w:rStyle w:val="FootnoteReference"/>
        </w:rPr>
        <w:footnoteRef/>
      </w:r>
      <w:r>
        <w:t xml:space="preserve"> Kruijt, “Exercises in State Terrorism,” 48-49.</w:t>
      </w:r>
    </w:p>
  </w:footnote>
  <w:footnote w:id="223">
    <w:p w:rsidR="002B4254" w:rsidRDefault="002B4254">
      <w:pPr>
        <w:pStyle w:val="FootnoteText"/>
      </w:pPr>
      <w:r>
        <w:rPr>
          <w:rStyle w:val="FootnoteReference"/>
        </w:rPr>
        <w:footnoteRef/>
      </w:r>
      <w:r>
        <w:t xml:space="preserve"> Lars Rudebeck, “Guinea-Bissau: Military Fighting Breaks Out,” Vol. 25, No. 77 (Sep. 1998), pp. 484-486</w:t>
      </w:r>
    </w:p>
  </w:footnote>
  <w:footnote w:id="224">
    <w:p w:rsidR="002B4254" w:rsidRPr="00021033" w:rsidRDefault="002B4254">
      <w:pPr>
        <w:pStyle w:val="FootnoteText"/>
      </w:pPr>
      <w:r>
        <w:rPr>
          <w:rStyle w:val="FootnoteReference"/>
        </w:rPr>
        <w:footnoteRef/>
      </w:r>
      <w:r>
        <w:t xml:space="preserve"> Johannes Augel, “Ein Neuanfung in Guinea-Bissau?” </w:t>
      </w:r>
      <w:r>
        <w:rPr>
          <w:i/>
        </w:rPr>
        <w:t>Africa Spectrum</w:t>
      </w:r>
      <w:r>
        <w:t>, Vol. 35, No. 1 (2000), pp. 31-40</w:t>
      </w:r>
    </w:p>
  </w:footnote>
  <w:footnote w:id="225">
    <w:p w:rsidR="002B4254" w:rsidRPr="00021033" w:rsidRDefault="002B4254">
      <w:pPr>
        <w:pStyle w:val="FootnoteText"/>
      </w:pPr>
      <w:r>
        <w:rPr>
          <w:rStyle w:val="FootnoteReference"/>
        </w:rPr>
        <w:footnoteRef/>
      </w:r>
      <w:r>
        <w:t xml:space="preserve"> Henrik Vigh, “Conflictual Motion and Political Inertia: On Rebellions and Revolutions in Bissau and Beyond,” </w:t>
      </w:r>
      <w:r>
        <w:rPr>
          <w:i/>
        </w:rPr>
        <w:t>African Studies Review</w:t>
      </w:r>
      <w:r>
        <w:t>, Vol. 52, No. 2 (Sep. 2009), pp. 143-164</w:t>
      </w:r>
    </w:p>
  </w:footnote>
  <w:footnote w:id="226">
    <w:p w:rsidR="002B4254" w:rsidRDefault="002B4254">
      <w:pPr>
        <w:pStyle w:val="FootnoteText"/>
      </w:pPr>
      <w:r>
        <w:rPr>
          <w:rStyle w:val="FootnoteReference"/>
        </w:rPr>
        <w:footnoteRef/>
      </w:r>
      <w:r>
        <w:t xml:space="preserve"> Ramachandra Guha, </w:t>
      </w:r>
      <w:r>
        <w:rPr>
          <w:i/>
        </w:rPr>
        <w:t>India After Ghandi: The History of the World’s Largest Democracy</w:t>
      </w:r>
      <w:r>
        <w:t>, Harper Perennial, 2007, pp. 560-568</w:t>
      </w:r>
    </w:p>
  </w:footnote>
  <w:footnote w:id="227">
    <w:p w:rsidR="002B4254" w:rsidRDefault="002B4254">
      <w:pPr>
        <w:pStyle w:val="FootnoteText"/>
      </w:pPr>
      <w:r>
        <w:rPr>
          <w:rStyle w:val="FootnoteReference"/>
        </w:rPr>
        <w:footnoteRef/>
      </w:r>
      <w:r>
        <w:t xml:space="preserve"> It is near the site of a 1919 peaceful protest which was itself ended violently when British troops fired upon the crowd, killing upwards of 400 people.</w:t>
      </w:r>
    </w:p>
  </w:footnote>
  <w:footnote w:id="228">
    <w:p w:rsidR="002B4254" w:rsidRDefault="002B4254">
      <w:pPr>
        <w:pStyle w:val="FootnoteText"/>
      </w:pPr>
      <w:r>
        <w:rPr>
          <w:rStyle w:val="FootnoteReference"/>
        </w:rPr>
        <w:footnoteRef/>
      </w:r>
      <w:r>
        <w:t xml:space="preserve"> Ibid. pp. 592-594</w:t>
      </w:r>
    </w:p>
  </w:footnote>
  <w:footnote w:id="229">
    <w:p w:rsidR="002B4254" w:rsidRDefault="002B4254">
      <w:pPr>
        <w:pStyle w:val="FootnoteText"/>
      </w:pPr>
      <w:r>
        <w:rPr>
          <w:rStyle w:val="FootnoteReference"/>
        </w:rPr>
        <w:footnoteRef/>
      </w:r>
      <w:r>
        <w:t xml:space="preserve"> Virginia Van Dyke, “The Khalistan Movement in Punjab, India, and the Post-Militancy Era: Structural Change and New Political Convulsions,” </w:t>
      </w:r>
      <w:r>
        <w:rPr>
          <w:i/>
        </w:rPr>
        <w:t>Asian Survey</w:t>
      </w:r>
      <w:r>
        <w:t>, Vol. 49, No. 6 (Nov/Dec 2009), pp. 988-990</w:t>
      </w:r>
    </w:p>
  </w:footnote>
  <w:footnote w:id="230">
    <w:p w:rsidR="002B4254" w:rsidRDefault="002B4254">
      <w:pPr>
        <w:pStyle w:val="FootnoteText"/>
      </w:pPr>
      <w:r>
        <w:rPr>
          <w:rStyle w:val="FootnoteReference"/>
        </w:rPr>
        <w:footnoteRef/>
      </w:r>
      <w:r>
        <w:t xml:space="preserve"> Peter A. Kiss, </w:t>
      </w:r>
      <w:r>
        <w:rPr>
          <w:i/>
        </w:rPr>
        <w:t>Winning Wars Amongst the People: Case Studies in Asymmetric Conflict</w:t>
      </w:r>
      <w:r>
        <w:t>, University of Nebraska Press, 2014, p. 89</w:t>
      </w:r>
    </w:p>
  </w:footnote>
  <w:footnote w:id="231">
    <w:p w:rsidR="002B4254" w:rsidRDefault="002B4254" w:rsidP="00370825">
      <w:pPr>
        <w:pStyle w:val="FootnoteText"/>
      </w:pPr>
      <w:r>
        <w:rPr>
          <w:rStyle w:val="FootnoteReference"/>
        </w:rPr>
        <w:footnoteRef/>
      </w:r>
      <w:r>
        <w:t xml:space="preserve"> Rajshree Jetly, “The Khalistan Movement in India: The Interplay of Politics and State Power,” </w:t>
      </w:r>
      <w:r>
        <w:rPr>
          <w:i/>
        </w:rPr>
        <w:t>International Review of Modern Sociology</w:t>
      </w:r>
      <w:r>
        <w:t>, Vol. 34, No. 1 (Spring 2008), p. 73</w:t>
      </w:r>
    </w:p>
  </w:footnote>
  <w:footnote w:id="232">
    <w:p w:rsidR="002B4254" w:rsidRDefault="002B4254">
      <w:pPr>
        <w:pStyle w:val="FootnoteText"/>
      </w:pPr>
      <w:r>
        <w:rPr>
          <w:rStyle w:val="FootnoteReference"/>
        </w:rPr>
        <w:footnoteRef/>
      </w:r>
      <w:r>
        <w:t xml:space="preserve"> Van Dyke, “The Khalistan Movement,” pp. 990-994</w:t>
      </w:r>
    </w:p>
  </w:footnote>
  <w:footnote w:id="233">
    <w:p w:rsidR="002B4254" w:rsidRPr="00057E2E" w:rsidRDefault="002B4254">
      <w:pPr>
        <w:pStyle w:val="FootnoteText"/>
      </w:pPr>
      <w:r>
        <w:rPr>
          <w:rStyle w:val="FootnoteReference"/>
        </w:rPr>
        <w:footnoteRef/>
      </w:r>
      <w:r>
        <w:t xml:space="preserve"> Punyapriya</w:t>
      </w:r>
      <w:r w:rsidRPr="005E4B61">
        <w:t xml:space="preserve"> </w:t>
      </w:r>
      <w:r>
        <w:t xml:space="preserve">Dasgupta, “East Timor, India, and Self-Determination,” </w:t>
      </w:r>
      <w:r>
        <w:rPr>
          <w:i/>
        </w:rPr>
        <w:t>Economic and Political Weekly</w:t>
      </w:r>
      <w:r>
        <w:t>, Vol. 26, No. 51 (Dec. 21, 1991), pp. 2931-2932</w:t>
      </w:r>
    </w:p>
  </w:footnote>
  <w:footnote w:id="234">
    <w:p w:rsidR="002B4254" w:rsidRPr="00057E2E" w:rsidRDefault="002B4254">
      <w:pPr>
        <w:pStyle w:val="FootnoteText"/>
      </w:pPr>
      <w:r>
        <w:rPr>
          <w:rStyle w:val="FootnoteReference"/>
        </w:rPr>
        <w:footnoteRef/>
      </w:r>
      <w:r>
        <w:t xml:space="preserve"> Peter Carey, “Secede and We Destroy You,” </w:t>
      </w:r>
      <w:r>
        <w:rPr>
          <w:i/>
        </w:rPr>
        <w:t>The World Today</w:t>
      </w:r>
      <w:r>
        <w:t>, Vol. 55, No. 10 (Oct. 1999), pp. 4-5</w:t>
      </w:r>
    </w:p>
  </w:footnote>
  <w:footnote w:id="235">
    <w:p w:rsidR="002B4254" w:rsidRDefault="002B4254" w:rsidP="00EA69C0">
      <w:pPr>
        <w:pStyle w:val="FootnoteText"/>
      </w:pPr>
      <w:r>
        <w:rPr>
          <w:rStyle w:val="FootnoteReference"/>
        </w:rPr>
        <w:footnoteRef/>
      </w:r>
      <w:r>
        <w:t xml:space="preserve"> David Dickens, “The United Nations in East Timor: Intervention at the Military Operation Level” </w:t>
      </w:r>
      <w:r>
        <w:rPr>
          <w:i/>
        </w:rPr>
        <w:t>Contemporary Southeast Asia</w:t>
      </w:r>
      <w:r>
        <w:t>, Vol. 23, No. 2 (Aug. 2001), pp. 215-216</w:t>
      </w:r>
    </w:p>
  </w:footnote>
  <w:footnote w:id="236">
    <w:p w:rsidR="002B4254" w:rsidRDefault="002B4254">
      <w:pPr>
        <w:pStyle w:val="FootnoteText"/>
      </w:pPr>
      <w:r>
        <w:rPr>
          <w:rStyle w:val="FootnoteReference"/>
        </w:rPr>
        <w:footnoteRef/>
      </w:r>
      <w:r>
        <w:t xml:space="preserve"> Norrie MacQueen, </w:t>
      </w:r>
      <w:r>
        <w:rPr>
          <w:i/>
        </w:rPr>
        <w:t>Humanitarian Intervention and the United Nations</w:t>
      </w:r>
      <w:r>
        <w:t>, Edinburgh University Press, 2011, p. 178-180</w:t>
      </w:r>
    </w:p>
  </w:footnote>
  <w:footnote w:id="237">
    <w:p w:rsidR="002B4254" w:rsidRDefault="002B4254">
      <w:pPr>
        <w:pStyle w:val="FootnoteText"/>
      </w:pPr>
      <w:r>
        <w:rPr>
          <w:rStyle w:val="FootnoteReference"/>
        </w:rPr>
        <w:footnoteRef/>
      </w:r>
      <w:r>
        <w:t xml:space="preserve"> Ibid. p. 179</w:t>
      </w:r>
    </w:p>
  </w:footnote>
  <w:footnote w:id="238">
    <w:p w:rsidR="002B4254" w:rsidRPr="00B124A6" w:rsidRDefault="002B4254" w:rsidP="00B124A6">
      <w:pPr>
        <w:pStyle w:val="FootnoteText"/>
      </w:pPr>
      <w:r>
        <w:rPr>
          <w:rStyle w:val="FootnoteReference"/>
        </w:rPr>
        <w:footnoteRef/>
      </w:r>
      <w:r>
        <w:t xml:space="preserve"> Stephen Hoadley, “East Timor: Civil War – Causes and Consequences,” </w:t>
      </w:r>
      <w:r>
        <w:rPr>
          <w:i/>
        </w:rPr>
        <w:t>Southeast Asian Affairs</w:t>
      </w:r>
      <w:r>
        <w:t>, (1976), pp. 411-419</w:t>
      </w:r>
    </w:p>
  </w:footnote>
  <w:footnote w:id="239">
    <w:p w:rsidR="002B4254" w:rsidRDefault="002B4254">
      <w:pPr>
        <w:pStyle w:val="FootnoteText"/>
      </w:pPr>
      <w:r>
        <w:rPr>
          <w:rStyle w:val="FootnoteReference"/>
        </w:rPr>
        <w:footnoteRef/>
      </w:r>
      <w:r>
        <w:t xml:space="preserve"> Alberto Arenas, “Education and Nationalism in East Timor,” </w:t>
      </w:r>
      <w:r>
        <w:rPr>
          <w:i/>
        </w:rPr>
        <w:t>Social Justice</w:t>
      </w:r>
      <w:r>
        <w:t>, Vol. 25, No. 2 (Summer 1998), p. 137</w:t>
      </w:r>
    </w:p>
  </w:footnote>
  <w:footnote w:id="240">
    <w:p w:rsidR="002B4254" w:rsidRDefault="002B4254">
      <w:pPr>
        <w:pStyle w:val="FootnoteText"/>
      </w:pPr>
      <w:r>
        <w:rPr>
          <w:rStyle w:val="FootnoteReference"/>
        </w:rPr>
        <w:footnoteRef/>
      </w:r>
      <w:r>
        <w:t xml:space="preserve"> Simon Philpott, “East Timor’s Double Life: Smells Like Westphalian Spirit,” </w:t>
      </w:r>
      <w:r>
        <w:rPr>
          <w:i/>
        </w:rPr>
        <w:t>Third World Quarterly</w:t>
      </w:r>
      <w:r>
        <w:t>, Vol. 27, No. 1 (2006), pp. 141-142</w:t>
      </w:r>
    </w:p>
  </w:footnote>
  <w:footnote w:id="241">
    <w:p w:rsidR="002B4254" w:rsidRDefault="002B4254">
      <w:pPr>
        <w:pStyle w:val="FootnoteText"/>
      </w:pPr>
      <w:r>
        <w:rPr>
          <w:rStyle w:val="FootnoteReference"/>
        </w:rPr>
        <w:footnoteRef/>
      </w:r>
      <w:r>
        <w:t xml:space="preserve"> Matthew Jardine, “Pacification, Resistance, and Territoriality: Prospects for a Space of Peace in East Timor,” </w:t>
      </w:r>
      <w:r>
        <w:rPr>
          <w:i/>
        </w:rPr>
        <w:t>GeoJournal</w:t>
      </w:r>
      <w:r>
        <w:t>, Vol. 39, No. 4 (Aug. 1996), p. 402</w:t>
      </w:r>
    </w:p>
  </w:footnote>
  <w:footnote w:id="242">
    <w:p w:rsidR="002B4254" w:rsidRDefault="002B4254" w:rsidP="00D73A0F">
      <w:pPr>
        <w:pStyle w:val="FootnoteText"/>
      </w:pPr>
      <w:r>
        <w:rPr>
          <w:rStyle w:val="FootnoteReference"/>
        </w:rPr>
        <w:footnoteRef/>
      </w:r>
      <w:r>
        <w:t xml:space="preserve"> Tanja Hohe, “The Clash of Paradigms: International Administration and Local Political Legitimacy in East Timor,” </w:t>
      </w:r>
      <w:r>
        <w:rPr>
          <w:i/>
        </w:rPr>
        <w:t>Contemporary Southeast Asia</w:t>
      </w:r>
      <w:r>
        <w:t>, Vol. 24, No. 3 (Dec. 2002), pp. 578-579</w:t>
      </w:r>
    </w:p>
  </w:footnote>
  <w:footnote w:id="243">
    <w:p w:rsidR="002B4254" w:rsidRPr="00751DD1" w:rsidRDefault="002B4254">
      <w:pPr>
        <w:pStyle w:val="FootnoteText"/>
      </w:pPr>
      <w:r>
        <w:rPr>
          <w:rStyle w:val="FootnoteReference"/>
        </w:rPr>
        <w:footnoteRef/>
      </w:r>
      <w:r>
        <w:t xml:space="preserve"> Kirsten Schulze, </w:t>
      </w:r>
      <w:r>
        <w:rPr>
          <w:i/>
        </w:rPr>
        <w:t>The Free Aceh Movement (GAM): Anatomy of a Separatist Organization</w:t>
      </w:r>
      <w:r>
        <w:t xml:space="preserve">, East-West Center, 2004, </w:t>
      </w:r>
      <w:hyperlink r:id="rId14" w:history="1">
        <w:r w:rsidRPr="009F6F01">
          <w:rPr>
            <w:rStyle w:val="Hyperlink"/>
          </w:rPr>
          <w:t>http://www.eastwestcenter.org/system/tdf/private/PS002.pdf?file=1&amp;type=node&amp;id=31983</w:t>
        </w:r>
      </w:hyperlink>
      <w:r>
        <w:t xml:space="preserve"> (accessed February 12, 2017), pp. 4-5</w:t>
      </w:r>
    </w:p>
  </w:footnote>
  <w:footnote w:id="244">
    <w:p w:rsidR="002B4254" w:rsidRDefault="002B4254">
      <w:pPr>
        <w:pStyle w:val="FootnoteText"/>
      </w:pPr>
      <w:r>
        <w:rPr>
          <w:rStyle w:val="FootnoteReference"/>
        </w:rPr>
        <w:footnoteRef/>
      </w:r>
      <w:r>
        <w:t xml:space="preserve"> Ibid. p. 11</w:t>
      </w:r>
    </w:p>
  </w:footnote>
  <w:footnote w:id="245">
    <w:p w:rsidR="002B4254" w:rsidRDefault="002B4254">
      <w:pPr>
        <w:pStyle w:val="FootnoteText"/>
      </w:pPr>
      <w:r>
        <w:rPr>
          <w:rStyle w:val="FootnoteReference"/>
        </w:rPr>
        <w:footnoteRef/>
      </w:r>
      <w:r>
        <w:t xml:space="preserve"> Ibid. p. 5</w:t>
      </w:r>
    </w:p>
  </w:footnote>
  <w:footnote w:id="246">
    <w:p w:rsidR="002B4254" w:rsidRDefault="002B4254">
      <w:pPr>
        <w:pStyle w:val="FootnoteText"/>
      </w:pPr>
      <w:r>
        <w:rPr>
          <w:rStyle w:val="FootnoteReference"/>
        </w:rPr>
        <w:footnoteRef/>
      </w:r>
      <w:r>
        <w:t xml:space="preserve"> Mampilly, “Stationary Bandits,” p. 102</w:t>
      </w:r>
    </w:p>
  </w:footnote>
  <w:footnote w:id="247">
    <w:p w:rsidR="002B4254" w:rsidRPr="008A62B5" w:rsidRDefault="002B4254">
      <w:pPr>
        <w:pStyle w:val="FootnoteText"/>
      </w:pPr>
      <w:r>
        <w:rPr>
          <w:rStyle w:val="FootnoteReference"/>
        </w:rPr>
        <w:footnoteRef/>
      </w:r>
      <w:r>
        <w:t xml:space="preserve"> Schulze, </w:t>
      </w:r>
      <w:r>
        <w:rPr>
          <w:i/>
        </w:rPr>
        <w:t>Free Aceh Movement</w:t>
      </w:r>
      <w:r>
        <w:t>, pp. 7-8</w:t>
      </w:r>
    </w:p>
  </w:footnote>
  <w:footnote w:id="248">
    <w:p w:rsidR="002B4254" w:rsidRDefault="002B4254">
      <w:pPr>
        <w:pStyle w:val="FootnoteText"/>
      </w:pPr>
      <w:r>
        <w:rPr>
          <w:rStyle w:val="FootnoteReference"/>
        </w:rPr>
        <w:footnoteRef/>
      </w:r>
      <w:r>
        <w:t xml:space="preserve"> Damien Kingsbury, “The Free Aceh Movement: Islam and Democratisation,” </w:t>
      </w:r>
      <w:r>
        <w:rPr>
          <w:i/>
        </w:rPr>
        <w:t>Journal of Contemporary Asia</w:t>
      </w:r>
      <w:r>
        <w:t>, Vol. 37, No. 2 (May 2007), pp. 171-173</w:t>
      </w:r>
    </w:p>
  </w:footnote>
  <w:footnote w:id="249">
    <w:p w:rsidR="002B4254" w:rsidRDefault="002B4254">
      <w:pPr>
        <w:pStyle w:val="FootnoteText"/>
      </w:pPr>
      <w:r>
        <w:rPr>
          <w:rStyle w:val="FootnoteReference"/>
        </w:rPr>
        <w:footnoteRef/>
      </w:r>
      <w:r>
        <w:t xml:space="preserve"> Mampilly, “Stationary Bandits,” p. 102</w:t>
      </w:r>
    </w:p>
  </w:footnote>
  <w:footnote w:id="250">
    <w:p w:rsidR="002B4254" w:rsidRPr="00BF7A26" w:rsidRDefault="002B4254">
      <w:pPr>
        <w:pStyle w:val="FootnoteText"/>
      </w:pPr>
      <w:r>
        <w:rPr>
          <w:rStyle w:val="FootnoteReference"/>
        </w:rPr>
        <w:footnoteRef/>
      </w:r>
      <w:r>
        <w:t xml:space="preserve"> Schulze, </w:t>
      </w:r>
      <w:r>
        <w:rPr>
          <w:i/>
        </w:rPr>
        <w:t>Free Aceh Movement</w:t>
      </w:r>
      <w:r>
        <w:t>, pp. 36-37</w:t>
      </w:r>
    </w:p>
  </w:footnote>
  <w:footnote w:id="251">
    <w:p w:rsidR="002B4254" w:rsidRDefault="002B4254">
      <w:pPr>
        <w:pStyle w:val="FootnoteText"/>
      </w:pPr>
      <w:r>
        <w:rPr>
          <w:rStyle w:val="FootnoteReference"/>
        </w:rPr>
        <w:footnoteRef/>
      </w:r>
      <w:r>
        <w:t xml:space="preserve"> Mampilly, “Stationary Bandits,” p. 102</w:t>
      </w:r>
    </w:p>
  </w:footnote>
  <w:footnote w:id="252">
    <w:p w:rsidR="002B4254" w:rsidRDefault="002B4254">
      <w:pPr>
        <w:pStyle w:val="FootnoteText"/>
      </w:pPr>
      <w:r>
        <w:rPr>
          <w:rStyle w:val="FootnoteReference"/>
        </w:rPr>
        <w:footnoteRef/>
      </w:r>
      <w:r>
        <w:t xml:space="preserve"> Kingsbury, p. 171</w:t>
      </w:r>
    </w:p>
  </w:footnote>
  <w:footnote w:id="253">
    <w:p w:rsidR="002B4254" w:rsidRDefault="002B4254">
      <w:pPr>
        <w:pStyle w:val="FootnoteText"/>
      </w:pPr>
      <w:r>
        <w:rPr>
          <w:rStyle w:val="FootnoteReference"/>
        </w:rPr>
        <w:footnoteRef/>
      </w:r>
      <w:r>
        <w:t xml:space="preserve"> Gunnar Stange and Roman Patock, “From Rebels to Rulers and Legislators: The Political Transformation of the Free Aceh Movement,” </w:t>
      </w:r>
      <w:r>
        <w:rPr>
          <w:i/>
        </w:rPr>
        <w:t>Journal of Current Southeast Asian Affairs</w:t>
      </w:r>
      <w:r>
        <w:t>, Vol. 29, No. 1 (2010), pp. 113-114</w:t>
      </w:r>
    </w:p>
  </w:footnote>
  <w:footnote w:id="254">
    <w:p w:rsidR="002B4254" w:rsidRPr="001002E3" w:rsidRDefault="002B4254">
      <w:pPr>
        <w:pStyle w:val="FootnoteText"/>
      </w:pPr>
      <w:r>
        <w:rPr>
          <w:rStyle w:val="FootnoteReference"/>
        </w:rPr>
        <w:footnoteRef/>
      </w:r>
      <w:r>
        <w:t xml:space="preserve"> Schulze, </w:t>
      </w:r>
      <w:r>
        <w:rPr>
          <w:i/>
        </w:rPr>
        <w:t>Free Aceh Movement</w:t>
      </w:r>
      <w:r>
        <w:t>, p. 35; this is supported by interviews with GAM officials from 2002, which note that Indonesian civil servants were allowed to operate much like they had previously because of their expertise.</w:t>
      </w:r>
    </w:p>
  </w:footnote>
  <w:footnote w:id="255">
    <w:p w:rsidR="002B4254" w:rsidRPr="002B23B5" w:rsidRDefault="002B4254">
      <w:pPr>
        <w:pStyle w:val="FootnoteText"/>
      </w:pPr>
      <w:r>
        <w:rPr>
          <w:rStyle w:val="FootnoteReference"/>
        </w:rPr>
        <w:footnoteRef/>
      </w:r>
      <w:r>
        <w:t xml:space="preserve"> Ibid. p. 2; by 2003, GAM controlled between 70 and 80 percent of Aceh.</w:t>
      </w:r>
    </w:p>
  </w:footnote>
  <w:footnote w:id="256">
    <w:p w:rsidR="002B4254" w:rsidRDefault="002B4254">
      <w:pPr>
        <w:pStyle w:val="FootnoteText"/>
      </w:pPr>
      <w:r>
        <w:rPr>
          <w:rStyle w:val="FootnoteReference"/>
        </w:rPr>
        <w:footnoteRef/>
      </w:r>
      <w:r>
        <w:t xml:space="preserve"> Lilianne Fan, “Protecting Land Rights in Post-Tsunami and Postconflict Aceh, Indonesia,” </w:t>
      </w:r>
      <w:r>
        <w:rPr>
          <w:i/>
        </w:rPr>
        <w:t>Reducing Global Poverty</w:t>
      </w:r>
      <w:r>
        <w:t>, ed. Caroline O.N. Moser, Brookings Institution Press, 2007, pp. 151-152; in 2002, more than a third had no access to health facilities.</w:t>
      </w:r>
    </w:p>
  </w:footnote>
  <w:footnote w:id="257">
    <w:p w:rsidR="002B4254" w:rsidRDefault="002B4254">
      <w:pPr>
        <w:pStyle w:val="FootnoteText"/>
      </w:pPr>
      <w:r>
        <w:rPr>
          <w:rStyle w:val="FootnoteReference"/>
        </w:rPr>
        <w:footnoteRef/>
      </w:r>
      <w:r>
        <w:t xml:space="preserve"> Kingsbury, pp. 172-174</w:t>
      </w:r>
    </w:p>
  </w:footnote>
  <w:footnote w:id="258">
    <w:p w:rsidR="002B4254" w:rsidRPr="00D63D87" w:rsidRDefault="002B4254">
      <w:pPr>
        <w:pStyle w:val="FootnoteText"/>
      </w:pPr>
      <w:r>
        <w:rPr>
          <w:rStyle w:val="FootnoteReference"/>
        </w:rPr>
        <w:footnoteRef/>
      </w:r>
      <w:r>
        <w:t xml:space="preserve"> Schulze, </w:t>
      </w:r>
      <w:r>
        <w:rPr>
          <w:i/>
        </w:rPr>
        <w:t>Free Aceh Movement</w:t>
      </w:r>
      <w:r>
        <w:t>, pp. 34-35</w:t>
      </w:r>
    </w:p>
  </w:footnote>
  <w:footnote w:id="259">
    <w:p w:rsidR="002B4254" w:rsidRDefault="002B4254" w:rsidP="00CD10BF">
      <w:pPr>
        <w:pStyle w:val="FootnoteText"/>
      </w:pPr>
      <w:r>
        <w:rPr>
          <w:rStyle w:val="FootnoteReference"/>
        </w:rPr>
        <w:footnoteRef/>
      </w:r>
      <w:r>
        <w:t xml:space="preserve"> Shane Joshua Barter, “The Rebel State in Society: Governance and Accommodation in the Aceh Conflict,” </w:t>
      </w:r>
      <w:r w:rsidRPr="00CD10BF">
        <w:rPr>
          <w:i/>
        </w:rPr>
        <w:t>Rebel Governance in Civil War</w:t>
      </w:r>
      <w:r>
        <w:t>, eds. Ana Arjona, Nelson Kasfir, and Zachariah Mampilly, pp. 232-235</w:t>
      </w:r>
    </w:p>
  </w:footnote>
  <w:footnote w:id="260">
    <w:p w:rsidR="002B4254" w:rsidRDefault="002B4254">
      <w:pPr>
        <w:pStyle w:val="FootnoteText"/>
      </w:pPr>
      <w:r>
        <w:rPr>
          <w:rStyle w:val="FootnoteReference"/>
        </w:rPr>
        <w:footnoteRef/>
      </w:r>
      <w:r>
        <w:t xml:space="preserve"> Ana Arjona, </w:t>
      </w:r>
      <w:r>
        <w:rPr>
          <w:i/>
        </w:rPr>
        <w:t>Rebelocracy: Social Order in the Colombian Civil War</w:t>
      </w:r>
      <w:r>
        <w:t>, Cambridge University Press, 2016, p. 61</w:t>
      </w:r>
    </w:p>
  </w:footnote>
  <w:footnote w:id="261">
    <w:p w:rsidR="002B4254" w:rsidRDefault="002B4254">
      <w:pPr>
        <w:pStyle w:val="FootnoteText"/>
      </w:pPr>
      <w:r>
        <w:rPr>
          <w:rStyle w:val="FootnoteReference"/>
        </w:rPr>
        <w:footnoteRef/>
      </w:r>
      <w:r>
        <w:t xml:space="preserve"> Stange and Patock, “Rebels to Rulers,” pp. 113-114; Fan, “Protecting Land Rights,” p. 161</w:t>
      </w:r>
    </w:p>
  </w:footnote>
  <w:footnote w:id="262">
    <w:p w:rsidR="002B4254" w:rsidRDefault="002B4254">
      <w:pPr>
        <w:pStyle w:val="FootnoteText"/>
      </w:pPr>
      <w:r>
        <w:rPr>
          <w:rStyle w:val="FootnoteReference"/>
        </w:rPr>
        <w:footnoteRef/>
      </w:r>
      <w:r>
        <w:t xml:space="preserve"> Barter, “Rebel State in Society,” pp. 232-235</w:t>
      </w:r>
    </w:p>
  </w:footnote>
  <w:footnote w:id="263">
    <w:p w:rsidR="002B4254" w:rsidRPr="009C1A63" w:rsidRDefault="002B4254">
      <w:pPr>
        <w:pStyle w:val="FootnoteText"/>
      </w:pPr>
      <w:r>
        <w:rPr>
          <w:rStyle w:val="FootnoteReference"/>
        </w:rPr>
        <w:footnoteRef/>
      </w:r>
      <w:r>
        <w:t xml:space="preserve"> Jeroen De Zeeuw, “Understanding the Political Transformation of Rebel Movements,” </w:t>
      </w:r>
      <w:r>
        <w:rPr>
          <w:i/>
        </w:rPr>
        <w:t>From Soldiers to Politicians: Transforming Rebel Movements After Civil War</w:t>
      </w:r>
      <w:r>
        <w:t>, ed. Jeroen De Zeeuw, Lynne Rienner, 2008, p. 2</w:t>
      </w:r>
    </w:p>
  </w:footnote>
  <w:footnote w:id="264">
    <w:p w:rsidR="002B4254" w:rsidRDefault="002B4254">
      <w:pPr>
        <w:pStyle w:val="FootnoteText"/>
      </w:pPr>
      <w:r>
        <w:rPr>
          <w:rStyle w:val="FootnoteReference"/>
        </w:rPr>
        <w:footnoteRef/>
      </w:r>
      <w:r>
        <w:t xml:space="preserve"> Edward Aspinall, </w:t>
      </w:r>
      <w:r>
        <w:rPr>
          <w:i/>
        </w:rPr>
        <w:t>The Helsinki Agreement: A More Promising Basis for Peace in Aceh?</w:t>
      </w:r>
      <w:r>
        <w:t xml:space="preserve"> East-West Center, 2005, pp. 7-10</w:t>
      </w:r>
    </w:p>
  </w:footnote>
  <w:footnote w:id="265">
    <w:p w:rsidR="002B4254" w:rsidRDefault="002B4254">
      <w:pPr>
        <w:pStyle w:val="FootnoteText"/>
      </w:pPr>
      <w:r>
        <w:rPr>
          <w:rStyle w:val="FootnoteReference"/>
        </w:rPr>
        <w:footnoteRef/>
      </w:r>
      <w:r>
        <w:t xml:space="preserve"> Nader Entessar, “The Kurds in Post-Revolutionary Iraq and Iran,” </w:t>
      </w:r>
      <w:r>
        <w:rPr>
          <w:i/>
        </w:rPr>
        <w:t>Third World Quarterly</w:t>
      </w:r>
      <w:r>
        <w:t>, Vol. 6, No. 4 (Oct. 1984), pp. 923-927</w:t>
      </w:r>
    </w:p>
  </w:footnote>
  <w:footnote w:id="266">
    <w:p w:rsidR="002B4254" w:rsidRDefault="002B4254">
      <w:pPr>
        <w:pStyle w:val="FootnoteText"/>
      </w:pPr>
      <w:r>
        <w:rPr>
          <w:rStyle w:val="FootnoteReference"/>
        </w:rPr>
        <w:footnoteRef/>
      </w:r>
      <w:r>
        <w:t xml:space="preserve"> Ibid. pp. 924-925</w:t>
      </w:r>
    </w:p>
  </w:footnote>
  <w:footnote w:id="267">
    <w:p w:rsidR="002B4254" w:rsidRDefault="002B4254">
      <w:pPr>
        <w:pStyle w:val="FootnoteText"/>
      </w:pPr>
      <w:r>
        <w:rPr>
          <w:rStyle w:val="FootnoteReference"/>
        </w:rPr>
        <w:footnoteRef/>
      </w:r>
      <w:r>
        <w:t xml:space="preserve">  Hashem</w:t>
      </w:r>
      <w:r w:rsidRPr="00AA12A6">
        <w:t xml:space="preserve"> Ahmadzadeh</w:t>
      </w:r>
      <w:r>
        <w:t xml:space="preserve"> </w:t>
      </w:r>
      <w:r w:rsidRPr="00AA12A6">
        <w:t>and Gareth Stansfield</w:t>
      </w:r>
      <w:r>
        <w:t>, “</w:t>
      </w:r>
      <w:r w:rsidRPr="00AA12A6">
        <w:t>The Political, Cultural, and Military Re-Awakening of the Kurdish Nationalist Movementin Iran</w:t>
      </w:r>
      <w:r>
        <w:t>,”</w:t>
      </w:r>
      <w:r w:rsidRPr="00AA12A6">
        <w:t xml:space="preserve"> </w:t>
      </w:r>
      <w:r>
        <w:rPr>
          <w:i/>
        </w:rPr>
        <w:t>Middle East Journal</w:t>
      </w:r>
      <w:r>
        <w:t>, Vol. 64, No. 1 (Winter, 2010), pp. 17-21</w:t>
      </w:r>
    </w:p>
  </w:footnote>
  <w:footnote w:id="268">
    <w:p w:rsidR="002B4254" w:rsidRDefault="002B4254">
      <w:pPr>
        <w:pStyle w:val="FootnoteText"/>
      </w:pPr>
      <w:r>
        <w:rPr>
          <w:rStyle w:val="FootnoteReference"/>
        </w:rPr>
        <w:footnoteRef/>
      </w:r>
      <w:r>
        <w:t xml:space="preserve"> Martin van Bruinessen, “The Kurds Between Iran and Iraq,” </w:t>
      </w:r>
      <w:r>
        <w:rPr>
          <w:i/>
        </w:rPr>
        <w:t>MERIP Middle East Report</w:t>
      </w:r>
      <w:r>
        <w:t>, No. 141 (July – Aug. 1986), pp. 20-22</w:t>
      </w:r>
    </w:p>
  </w:footnote>
  <w:footnote w:id="269">
    <w:p w:rsidR="002B4254" w:rsidRDefault="002B4254">
      <w:pPr>
        <w:pStyle w:val="FootnoteText"/>
      </w:pPr>
      <w:r>
        <w:rPr>
          <w:rStyle w:val="FootnoteReference"/>
        </w:rPr>
        <w:footnoteRef/>
      </w:r>
      <w:r>
        <w:t xml:space="preserve"> Ibid. p. 22</w:t>
      </w:r>
    </w:p>
  </w:footnote>
  <w:footnote w:id="270">
    <w:p w:rsidR="002B4254" w:rsidRDefault="002B4254">
      <w:pPr>
        <w:pStyle w:val="FootnoteText"/>
      </w:pPr>
      <w:r>
        <w:rPr>
          <w:rStyle w:val="FootnoteReference"/>
        </w:rPr>
        <w:footnoteRef/>
      </w:r>
      <w:r>
        <w:t xml:space="preserve"> Kerim Yildiz and Tanyel B. Taysi, </w:t>
      </w:r>
      <w:r>
        <w:rPr>
          <w:i/>
        </w:rPr>
        <w:t>The Kurds in Iran: The Past, Present, and Future</w:t>
      </w:r>
      <w:r>
        <w:t>, Pluto Press, 2007, pp. 22-23</w:t>
      </w:r>
    </w:p>
  </w:footnote>
  <w:footnote w:id="271">
    <w:p w:rsidR="002B4254" w:rsidRDefault="002B4254">
      <w:pPr>
        <w:pStyle w:val="FootnoteText"/>
      </w:pPr>
      <w:r>
        <w:rPr>
          <w:rStyle w:val="FootnoteReference"/>
        </w:rPr>
        <w:footnoteRef/>
      </w:r>
      <w:r>
        <w:t xml:space="preserve"> Ali A. Allawi, </w:t>
      </w:r>
      <w:r>
        <w:rPr>
          <w:i/>
        </w:rPr>
        <w:t>The Occupation of Iraq: Winning the War, Losing the Peace</w:t>
      </w:r>
      <w:r>
        <w:t>, Yale University Press, 2007, pp. 45-49</w:t>
      </w:r>
    </w:p>
  </w:footnote>
  <w:footnote w:id="272">
    <w:p w:rsidR="002B4254" w:rsidRDefault="002B4254">
      <w:pPr>
        <w:pStyle w:val="FootnoteText"/>
      </w:pPr>
      <w:r>
        <w:rPr>
          <w:rStyle w:val="FootnoteReference"/>
        </w:rPr>
        <w:footnoteRef/>
      </w:r>
      <w:r>
        <w:t xml:space="preserve"> Ibid. pp. 45-50</w:t>
      </w:r>
    </w:p>
  </w:footnote>
  <w:footnote w:id="273">
    <w:p w:rsidR="002B4254" w:rsidRDefault="002B4254">
      <w:pPr>
        <w:pStyle w:val="FootnoteText"/>
      </w:pPr>
      <w:r>
        <w:rPr>
          <w:rStyle w:val="FootnoteReference"/>
        </w:rPr>
        <w:footnoteRef/>
      </w:r>
      <w:r>
        <w:t xml:space="preserve"> Kerim Yildiz, </w:t>
      </w:r>
      <w:r>
        <w:rPr>
          <w:i/>
        </w:rPr>
        <w:t>The Kurds in Iraq: The Past, Present and Future</w:t>
      </w:r>
      <w:r>
        <w:t>, Pluto Press, 2007, pp. 34-37</w:t>
      </w:r>
    </w:p>
  </w:footnote>
  <w:footnote w:id="274">
    <w:p w:rsidR="002B4254" w:rsidRPr="00EE4679" w:rsidRDefault="002B4254">
      <w:pPr>
        <w:pStyle w:val="FootnoteText"/>
      </w:pPr>
      <w:r>
        <w:rPr>
          <w:rStyle w:val="FootnoteReference"/>
        </w:rPr>
        <w:footnoteRef/>
      </w:r>
      <w:r>
        <w:t xml:space="preserve"> Abbas Alnawrawi, “Iraq: Economic Consequences of the 1991 Gulf War and Future Outlook,” </w:t>
      </w:r>
      <w:r>
        <w:rPr>
          <w:i/>
        </w:rPr>
        <w:t>Third World Quarterly</w:t>
      </w:r>
      <w:r>
        <w:t>, Vol. 13, No. 2 (1992), pp. 344-345</w:t>
      </w:r>
    </w:p>
  </w:footnote>
  <w:footnote w:id="275">
    <w:p w:rsidR="002B4254" w:rsidRDefault="002B4254">
      <w:pPr>
        <w:pStyle w:val="FootnoteText"/>
      </w:pPr>
      <w:r>
        <w:rPr>
          <w:rStyle w:val="FootnoteReference"/>
        </w:rPr>
        <w:footnoteRef/>
      </w:r>
      <w:r>
        <w:t xml:space="preserve"> Mampilly, “Stationary Bandits,” p. 103</w:t>
      </w:r>
    </w:p>
  </w:footnote>
  <w:footnote w:id="276">
    <w:p w:rsidR="002B4254" w:rsidRPr="00923110" w:rsidRDefault="002B4254">
      <w:pPr>
        <w:pStyle w:val="FootnoteText"/>
      </w:pPr>
      <w:r>
        <w:rPr>
          <w:rStyle w:val="FootnoteReference"/>
        </w:rPr>
        <w:footnoteRef/>
      </w:r>
      <w:r>
        <w:t xml:space="preserve"> Peter Custers, “Globalisation and War in Ivory Coast,” </w:t>
      </w:r>
      <w:r>
        <w:rPr>
          <w:i/>
        </w:rPr>
        <w:t>Economic and Political Weekly</w:t>
      </w:r>
      <w:r>
        <w:t>, Vol. 41, No. 19, (May 13-19, 2006), pp. 1844-1846</w:t>
      </w:r>
    </w:p>
  </w:footnote>
  <w:footnote w:id="277">
    <w:p w:rsidR="002B4254" w:rsidRDefault="002B4254">
      <w:pPr>
        <w:pStyle w:val="FootnoteText"/>
      </w:pPr>
      <w:r>
        <w:rPr>
          <w:rStyle w:val="FootnoteReference"/>
        </w:rPr>
        <w:footnoteRef/>
      </w:r>
      <w:r>
        <w:t xml:space="preserve"> Lorenzo Rocco, and Zié Ballo, “Provoking a Civil War,” </w:t>
      </w:r>
      <w:r>
        <w:rPr>
          <w:i/>
        </w:rPr>
        <w:t>Public Choice</w:t>
      </w:r>
      <w:r>
        <w:t>, Vol. 134, No. 3/4 (March, 2008), pp. 347-349</w:t>
      </w:r>
    </w:p>
  </w:footnote>
  <w:footnote w:id="278">
    <w:p w:rsidR="002B4254" w:rsidRDefault="002B4254">
      <w:pPr>
        <w:pStyle w:val="FootnoteText"/>
      </w:pPr>
      <w:r>
        <w:rPr>
          <w:rStyle w:val="FootnoteReference"/>
        </w:rPr>
        <w:footnoteRef/>
      </w:r>
      <w:r w:rsidRPr="004010EB">
        <w:t xml:space="preserve"> Jennifer M.</w:t>
      </w:r>
      <w:r>
        <w:t xml:space="preserve"> Hazen</w:t>
      </w:r>
      <w:r w:rsidRPr="004010EB">
        <w:t xml:space="preserve">, </w:t>
      </w:r>
      <w:r w:rsidRPr="004010EB">
        <w:rPr>
          <w:i/>
        </w:rPr>
        <w:t>What Rebels Want: Resources and Supply Networks in Wartime</w:t>
      </w:r>
      <w:r w:rsidRPr="004010EB">
        <w:t>, Cornell University Press, 2013</w:t>
      </w:r>
      <w:r>
        <w:t>, pp. 164-167</w:t>
      </w:r>
    </w:p>
  </w:footnote>
  <w:footnote w:id="279">
    <w:p w:rsidR="002B4254" w:rsidRDefault="002B4254" w:rsidP="00065CF3">
      <w:pPr>
        <w:pStyle w:val="FootnoteText"/>
      </w:pPr>
      <w:r>
        <w:rPr>
          <w:rStyle w:val="FootnoteReference"/>
        </w:rPr>
        <w:footnoteRef/>
      </w:r>
      <w:r>
        <w:t xml:space="preserve"> Jeremy Speight, “</w:t>
      </w:r>
      <w:r w:rsidRPr="00065CF3">
        <w:t>Rebel Organisati</w:t>
      </w:r>
      <w:r>
        <w:t xml:space="preserve">on and Local Politics: Evidence </w:t>
      </w:r>
      <w:r w:rsidRPr="00065CF3">
        <w:t>from Bouna (Northern Coˆte d’Ivoire, 2002–10)</w:t>
      </w:r>
      <w:r>
        <w:t xml:space="preserve">,” </w:t>
      </w:r>
      <w:r>
        <w:rPr>
          <w:i/>
        </w:rPr>
        <w:t>Civil Wars</w:t>
      </w:r>
      <w:r>
        <w:t>, Vol. 15, No. 2 (Aug. 2013), pp. 227-228</w:t>
      </w:r>
    </w:p>
  </w:footnote>
  <w:footnote w:id="280">
    <w:p w:rsidR="002B4254" w:rsidRDefault="002B4254">
      <w:pPr>
        <w:pStyle w:val="FootnoteText"/>
      </w:pPr>
      <w:r>
        <w:rPr>
          <w:rStyle w:val="FootnoteReference"/>
        </w:rPr>
        <w:footnoteRef/>
      </w:r>
      <w:r>
        <w:t xml:space="preserve"> Jeremy Speight, “</w:t>
      </w:r>
      <w:r w:rsidRPr="00CB0BA6">
        <w:t>Warlord undone? Stron</w:t>
      </w:r>
      <w:r>
        <w:t xml:space="preserve">gman politics and post-conflict </w:t>
      </w:r>
      <w:r w:rsidRPr="00CB0BA6">
        <w:t>state-building in Northeastern Côte d'Ivoire (2002–2013)</w:t>
      </w:r>
      <w:r>
        <w:t xml:space="preserve">,” </w:t>
      </w:r>
      <w:r>
        <w:rPr>
          <w:i/>
        </w:rPr>
        <w:t>Canadian Journal of African Studies</w:t>
      </w:r>
      <w:r>
        <w:t>, Vol. 48, No. 2 (2014), pp. 231-233</w:t>
      </w:r>
    </w:p>
  </w:footnote>
  <w:footnote w:id="281">
    <w:p w:rsidR="002B4254" w:rsidRDefault="002B4254" w:rsidP="00CB0BA6">
      <w:pPr>
        <w:pStyle w:val="FootnoteText"/>
      </w:pPr>
      <w:r>
        <w:rPr>
          <w:rStyle w:val="FootnoteReference"/>
        </w:rPr>
        <w:footnoteRef/>
      </w:r>
      <w:r>
        <w:t xml:space="preserve"> Ibid. pp. 230-231</w:t>
      </w:r>
    </w:p>
  </w:footnote>
  <w:footnote w:id="282">
    <w:p w:rsidR="002B4254" w:rsidRDefault="002B4254">
      <w:pPr>
        <w:pStyle w:val="FootnoteText"/>
      </w:pPr>
      <w:r>
        <w:rPr>
          <w:rStyle w:val="FootnoteReference"/>
        </w:rPr>
        <w:footnoteRef/>
      </w:r>
      <w:r>
        <w:t xml:space="preserve"> Lauren Morris Maclean, “</w:t>
      </w:r>
      <w:r w:rsidRPr="00BA694F">
        <w:t>Mediating Ethnic Conflict at the Grassroots: The Role of Local Associational Life in Shaping Political Values in Côte d'Ivoire and Ghana</w:t>
      </w:r>
      <w:r>
        <w:t xml:space="preserve">,” </w:t>
      </w:r>
      <w:r>
        <w:rPr>
          <w:i/>
        </w:rPr>
        <w:t>The Journal of Modern African Studies</w:t>
      </w:r>
      <w:r>
        <w:t>, Vol. 42, No. 4 (Dec. 2004), pp. 598, 604</w:t>
      </w:r>
    </w:p>
  </w:footnote>
  <w:footnote w:id="283">
    <w:p w:rsidR="002B4254" w:rsidRPr="005E463C" w:rsidRDefault="002B4254">
      <w:pPr>
        <w:pStyle w:val="FootnoteText"/>
      </w:pPr>
      <w:r>
        <w:rPr>
          <w:rStyle w:val="FootnoteReference"/>
        </w:rPr>
        <w:footnoteRef/>
      </w:r>
      <w:r>
        <w:t xml:space="preserve"> Camelia </w:t>
      </w:r>
      <w:r w:rsidRPr="005E463C">
        <w:t>Minoiu and Olga Shemyakina</w:t>
      </w:r>
      <w:r>
        <w:t>, “</w:t>
      </w:r>
      <w:r w:rsidRPr="005E463C">
        <w:t>Child Health and Conflict in Côte d'Ivoire</w:t>
      </w:r>
      <w:r>
        <w:t xml:space="preserve">,” </w:t>
      </w:r>
      <w:r>
        <w:rPr>
          <w:i/>
        </w:rPr>
        <w:t>The American Economic Review</w:t>
      </w:r>
      <w:r>
        <w:t>, Vol. 102, No. 3 (May, 2012), pp. 294-299</w:t>
      </w:r>
    </w:p>
  </w:footnote>
  <w:footnote w:id="284">
    <w:p w:rsidR="002B4254" w:rsidRDefault="002B4254">
      <w:pPr>
        <w:pStyle w:val="FootnoteText"/>
      </w:pPr>
      <w:r>
        <w:rPr>
          <w:rStyle w:val="FootnoteReference"/>
        </w:rPr>
        <w:footnoteRef/>
      </w:r>
      <w:r>
        <w:t xml:space="preserve"> Speight, Jeremy S., “</w:t>
      </w:r>
      <w:r w:rsidRPr="002D5E7A">
        <w:t>‘Big-Men’ Coalitions and Political Order in Northern Côte d’Ivoire (2002-2013)</w:t>
      </w:r>
      <w:r>
        <w:t xml:space="preserve">,” dissertation, Concordia University, 2015, </w:t>
      </w:r>
      <w:hyperlink r:id="rId15" w:history="1">
        <w:r w:rsidRPr="00302A69">
          <w:rPr>
            <w:rStyle w:val="Hyperlink"/>
          </w:rPr>
          <w:t>http://spectrum.library.concordia.ca/980687/1/Speight_PhD_S2016.pdf</w:t>
        </w:r>
      </w:hyperlink>
      <w:r>
        <w:t xml:space="preserve"> (accessed March 23, 2017),</w:t>
      </w:r>
      <w:r w:rsidRPr="002D5E7A">
        <w:t xml:space="preserve"> </w:t>
      </w:r>
      <w:r>
        <w:t xml:space="preserve"> p. 46</w:t>
      </w:r>
    </w:p>
  </w:footnote>
  <w:footnote w:id="285">
    <w:p w:rsidR="002B4254" w:rsidRDefault="002B4254">
      <w:pPr>
        <w:pStyle w:val="FootnoteText"/>
      </w:pPr>
      <w:r>
        <w:rPr>
          <w:rStyle w:val="FootnoteReference"/>
        </w:rPr>
        <w:footnoteRef/>
      </w:r>
      <w:r>
        <w:t xml:space="preserve"> Speight, “Rebel Organisation,” pp. 227-228</w:t>
      </w:r>
    </w:p>
  </w:footnote>
  <w:footnote w:id="286">
    <w:p w:rsidR="002B4254" w:rsidRDefault="002B4254">
      <w:pPr>
        <w:pStyle w:val="FootnoteText"/>
      </w:pPr>
      <w:r>
        <w:rPr>
          <w:rStyle w:val="FootnoteReference"/>
        </w:rPr>
        <w:footnoteRef/>
      </w:r>
      <w:r>
        <w:t xml:space="preserve"> Speight, “Warlord undone?” pp. 230-236</w:t>
      </w:r>
    </w:p>
  </w:footnote>
  <w:footnote w:id="287">
    <w:p w:rsidR="002B4254" w:rsidRDefault="002B4254">
      <w:pPr>
        <w:pStyle w:val="FootnoteText"/>
      </w:pPr>
      <w:r>
        <w:rPr>
          <w:rStyle w:val="FootnoteReference"/>
        </w:rPr>
        <w:footnoteRef/>
      </w:r>
      <w:r>
        <w:t xml:space="preserve"> Speight, “’Big-Men’ Coalitions,” pp. 117-123</w:t>
      </w:r>
    </w:p>
  </w:footnote>
  <w:footnote w:id="288">
    <w:p w:rsidR="002B4254" w:rsidRDefault="002B4254">
      <w:pPr>
        <w:pStyle w:val="FootnoteText"/>
      </w:pPr>
      <w:r>
        <w:rPr>
          <w:rStyle w:val="FootnoteReference"/>
        </w:rPr>
        <w:footnoteRef/>
      </w:r>
      <w:r>
        <w:t xml:space="preserve"> Speight, “Warlord Undone?” pp. 230-236</w:t>
      </w:r>
    </w:p>
  </w:footnote>
  <w:footnote w:id="289">
    <w:p w:rsidR="002B4254" w:rsidRDefault="002B4254">
      <w:pPr>
        <w:pStyle w:val="FootnoteText"/>
      </w:pPr>
      <w:r>
        <w:rPr>
          <w:rStyle w:val="FootnoteReference"/>
        </w:rPr>
        <w:footnoteRef/>
      </w:r>
      <w:r>
        <w:t xml:space="preserve"> Henry H. Perritt Jr., </w:t>
      </w:r>
      <w:r>
        <w:rPr>
          <w:i/>
        </w:rPr>
        <w:t>Kosovo Liberation Army: The Inside Story of An Insurgency</w:t>
      </w:r>
      <w:r>
        <w:t>, University of Illinois Press, 2008, pp. 8-12</w:t>
      </w:r>
    </w:p>
  </w:footnote>
  <w:footnote w:id="290">
    <w:p w:rsidR="002B4254" w:rsidRDefault="002B4254">
      <w:pPr>
        <w:pStyle w:val="FootnoteText"/>
      </w:pPr>
      <w:r>
        <w:rPr>
          <w:rStyle w:val="FootnoteReference"/>
        </w:rPr>
        <w:footnoteRef/>
      </w:r>
      <w:r>
        <w:t xml:space="preserve"> Krinka Vidakovic-Petrov, “Breaking the Balkans: Yugoslavia ’99,” </w:t>
      </w:r>
      <w:r>
        <w:rPr>
          <w:i/>
        </w:rPr>
        <w:t>Kosovo-Serbia: A Just War?</w:t>
      </w:r>
      <w:r>
        <w:t xml:space="preserve"> Ed. Frank Columbus, Nova Science Publishers, 1999, pp. 16-18</w:t>
      </w:r>
    </w:p>
  </w:footnote>
  <w:footnote w:id="291">
    <w:p w:rsidR="002B4254" w:rsidRPr="005075ED" w:rsidRDefault="002B4254">
      <w:pPr>
        <w:pStyle w:val="FootnoteText"/>
      </w:pPr>
      <w:r>
        <w:rPr>
          <w:rStyle w:val="FootnoteReference"/>
        </w:rPr>
        <w:footnoteRef/>
      </w:r>
      <w:r>
        <w:t xml:space="preserve"> Perritt, </w:t>
      </w:r>
      <w:r>
        <w:rPr>
          <w:i/>
        </w:rPr>
        <w:t>Kosovo Liberation Army</w:t>
      </w:r>
      <w:r>
        <w:t>, pp. 48-56, 62-64</w:t>
      </w:r>
    </w:p>
  </w:footnote>
  <w:footnote w:id="292">
    <w:p w:rsidR="002B4254" w:rsidRDefault="002B4254">
      <w:pPr>
        <w:pStyle w:val="FootnoteText"/>
      </w:pPr>
      <w:r>
        <w:rPr>
          <w:rStyle w:val="FootnoteReference"/>
        </w:rPr>
        <w:footnoteRef/>
      </w:r>
      <w:r>
        <w:t xml:space="preserve"> James Pettifer, </w:t>
      </w:r>
      <w:r>
        <w:rPr>
          <w:i/>
        </w:rPr>
        <w:t>The Kosova Liberation Army: Underground War to Balkan Insurgency, 1948-2001</w:t>
      </w:r>
      <w:r>
        <w:t>, Columbia University Press, 2012, pp. 183-192</w:t>
      </w:r>
    </w:p>
  </w:footnote>
  <w:footnote w:id="293">
    <w:p w:rsidR="002B4254" w:rsidRDefault="002B4254">
      <w:pPr>
        <w:pStyle w:val="FootnoteText"/>
      </w:pPr>
      <w:r>
        <w:rPr>
          <w:rStyle w:val="FootnoteReference"/>
        </w:rPr>
        <w:footnoteRef/>
      </w:r>
      <w:r>
        <w:t xml:space="preserve"> Perritt, </w:t>
      </w:r>
      <w:r>
        <w:rPr>
          <w:i/>
        </w:rPr>
        <w:t>Kosovo Liberation Army</w:t>
      </w:r>
      <w:r>
        <w:t>, 127-129.</w:t>
      </w:r>
    </w:p>
  </w:footnote>
  <w:footnote w:id="294">
    <w:p w:rsidR="002B4254" w:rsidRDefault="002B4254">
      <w:pPr>
        <w:pStyle w:val="FootnoteText"/>
      </w:pPr>
      <w:r>
        <w:rPr>
          <w:rStyle w:val="FootnoteReference"/>
        </w:rPr>
        <w:footnoteRef/>
      </w:r>
      <w:r>
        <w:t xml:space="preserve"> Ibid. 152-158</w:t>
      </w:r>
    </w:p>
  </w:footnote>
  <w:footnote w:id="295">
    <w:p w:rsidR="002B4254" w:rsidRDefault="002B4254">
      <w:pPr>
        <w:pStyle w:val="FootnoteText"/>
      </w:pPr>
      <w:r>
        <w:rPr>
          <w:rStyle w:val="FootnoteReference"/>
        </w:rPr>
        <w:footnoteRef/>
      </w:r>
      <w:r>
        <w:t xml:space="preserve"> </w:t>
      </w:r>
      <w:r w:rsidRPr="008A04CA">
        <w:t>This depi</w:t>
      </w:r>
      <w:r>
        <w:t>ction of the various alliances somewhat simplistic</w:t>
      </w:r>
      <w:r w:rsidRPr="008A04CA">
        <w:t xml:space="preserve"> as Sunni and Shiite Muslims were technically competing over representation as the consociational arrangement of the country</w:t>
      </w:r>
      <w:r>
        <w:t xml:space="preserve">, even though broadly speaking, Shiite and Sunni militias allied with each other to fight Maronite ones. Indeed, some of the fiercest inter-Muslim violence took place when Hezbollah and Amal (both Shiite) clashed towards the conflict’s end. This is hardly the exception, though, as most of the combatants found themselves fighting most other combatants, regardless of religious or political affiliation, at some point in the conflict (see: Theodor Hanf, </w:t>
      </w:r>
      <w:r>
        <w:rPr>
          <w:i/>
        </w:rPr>
        <w:t>Coexistence in Wartime Lebanon</w:t>
      </w:r>
      <w:r>
        <w:t>, trans. John Richardson, The Centre for Lebanese Studies, 1993, pp. x-xi)</w:t>
      </w:r>
    </w:p>
  </w:footnote>
  <w:footnote w:id="296">
    <w:p w:rsidR="002B4254" w:rsidRDefault="002B4254">
      <w:pPr>
        <w:pStyle w:val="FootnoteText"/>
      </w:pPr>
      <w:r>
        <w:rPr>
          <w:rStyle w:val="FootnoteReference"/>
        </w:rPr>
        <w:footnoteRef/>
      </w:r>
      <w:r>
        <w:t xml:space="preserve"> Edgar O’Ballance, </w:t>
      </w:r>
      <w:r>
        <w:rPr>
          <w:i/>
        </w:rPr>
        <w:t>Civil War in Lebanon, 1975-92</w:t>
      </w:r>
      <w:r>
        <w:t>, St. Martin’s Press, 1998, pp. 14-16</w:t>
      </w:r>
    </w:p>
  </w:footnote>
  <w:footnote w:id="297">
    <w:p w:rsidR="002B4254" w:rsidRDefault="002B4254">
      <w:pPr>
        <w:pStyle w:val="FootnoteText"/>
      </w:pPr>
      <w:r>
        <w:rPr>
          <w:rStyle w:val="FootnoteReference"/>
        </w:rPr>
        <w:footnoteRef/>
      </w:r>
      <w:r>
        <w:t xml:space="preserve"> William Harris, </w:t>
      </w:r>
      <w:r>
        <w:rPr>
          <w:i/>
        </w:rPr>
        <w:t>The New Face of Lebanon: History’s Revenge</w:t>
      </w:r>
      <w:r>
        <w:t>, Markus Weiner Publishers, 2006, pp. 164-6</w:t>
      </w:r>
    </w:p>
  </w:footnote>
  <w:footnote w:id="298">
    <w:p w:rsidR="002B4254" w:rsidRDefault="002B4254">
      <w:pPr>
        <w:pStyle w:val="FootnoteText"/>
      </w:pPr>
      <w:r>
        <w:rPr>
          <w:rStyle w:val="FootnoteReference"/>
        </w:rPr>
        <w:footnoteRef/>
      </w:r>
      <w:r>
        <w:t xml:space="preserve"> Marius Deeb, </w:t>
      </w:r>
      <w:r>
        <w:rPr>
          <w:i/>
        </w:rPr>
        <w:t>The Lebanese Civil War</w:t>
      </w:r>
      <w:r>
        <w:t>, Praeger, 1980, pp. 52-56</w:t>
      </w:r>
    </w:p>
  </w:footnote>
  <w:footnote w:id="299">
    <w:p w:rsidR="002B4254" w:rsidRDefault="002B4254">
      <w:pPr>
        <w:pStyle w:val="FootnoteText"/>
      </w:pPr>
      <w:r>
        <w:rPr>
          <w:rStyle w:val="FootnoteReference"/>
        </w:rPr>
        <w:footnoteRef/>
      </w:r>
      <w:r>
        <w:t xml:space="preserve"> Hassan Krayem, “The Lebanese Civil War and the Taif Agreement,” </w:t>
      </w:r>
      <w:r>
        <w:rPr>
          <w:i/>
        </w:rPr>
        <w:t>The American University of Beirut</w:t>
      </w:r>
      <w:r>
        <w:t xml:space="preserve">, </w:t>
      </w:r>
      <w:hyperlink r:id="rId16" w:history="1">
        <w:r w:rsidRPr="00473FF7">
          <w:rPr>
            <w:rStyle w:val="Hyperlink"/>
          </w:rPr>
          <w:t>http://ddc.aub.edu.lb/projects/pspa/conflict-resolution.html</w:t>
        </w:r>
      </w:hyperlink>
      <w:r>
        <w:t xml:space="preserve"> (accessed February 5, 2014)</w:t>
      </w:r>
    </w:p>
  </w:footnote>
  <w:footnote w:id="300">
    <w:p w:rsidR="002B4254" w:rsidRPr="008A04CA" w:rsidRDefault="002B4254">
      <w:pPr>
        <w:pStyle w:val="FootnoteText"/>
      </w:pPr>
      <w:r>
        <w:rPr>
          <w:rStyle w:val="FootnoteReference"/>
        </w:rPr>
        <w:footnoteRef/>
      </w:r>
      <w:r>
        <w:t xml:space="preserve"> Harris, </w:t>
      </w:r>
      <w:r>
        <w:rPr>
          <w:i/>
        </w:rPr>
        <w:t>New Face</w:t>
      </w:r>
      <w:r>
        <w:t>, pp. 180-188</w:t>
      </w:r>
    </w:p>
  </w:footnote>
  <w:footnote w:id="301">
    <w:p w:rsidR="002B4254" w:rsidRDefault="002B4254">
      <w:pPr>
        <w:pStyle w:val="FootnoteText"/>
      </w:pPr>
      <w:r>
        <w:rPr>
          <w:rStyle w:val="FootnoteReference"/>
        </w:rPr>
        <w:footnoteRef/>
      </w:r>
      <w:r>
        <w:t xml:space="preserve"> There were far too many shifts in alliances to list their entire number here.</w:t>
      </w:r>
    </w:p>
  </w:footnote>
  <w:footnote w:id="302">
    <w:p w:rsidR="002B4254" w:rsidRDefault="002B4254">
      <w:pPr>
        <w:pStyle w:val="FootnoteText"/>
      </w:pPr>
      <w:r>
        <w:rPr>
          <w:rStyle w:val="FootnoteReference"/>
        </w:rPr>
        <w:footnoteRef/>
      </w:r>
      <w:r>
        <w:t xml:space="preserve"> Hanf, </w:t>
      </w:r>
      <w:r>
        <w:rPr>
          <w:i/>
        </w:rPr>
        <w:t>Coexistence in Wartime Lebanon</w:t>
      </w:r>
      <w:r>
        <w:t>, pp. 357-360</w:t>
      </w:r>
    </w:p>
  </w:footnote>
  <w:footnote w:id="303">
    <w:p w:rsidR="002B4254" w:rsidRDefault="002B4254">
      <w:pPr>
        <w:pStyle w:val="FootnoteText"/>
      </w:pPr>
      <w:r>
        <w:rPr>
          <w:rStyle w:val="FootnoteReference"/>
        </w:rPr>
        <w:footnoteRef/>
      </w:r>
      <w:r>
        <w:t xml:space="preserve"> A.J. Abraham, </w:t>
      </w:r>
      <w:r>
        <w:rPr>
          <w:i/>
        </w:rPr>
        <w:t>The Lebanon War</w:t>
      </w:r>
      <w:r>
        <w:t>, Praeger, 1996, pp. 88-100</w:t>
      </w:r>
    </w:p>
  </w:footnote>
  <w:footnote w:id="304">
    <w:p w:rsidR="002B4254" w:rsidRDefault="002B4254">
      <w:pPr>
        <w:pStyle w:val="FootnoteText"/>
      </w:pPr>
      <w:r>
        <w:rPr>
          <w:rStyle w:val="FootnoteReference"/>
        </w:rPr>
        <w:footnoteRef/>
      </w:r>
      <w:r>
        <w:t xml:space="preserve"> Zeev Moaz, </w:t>
      </w:r>
      <w:r>
        <w:rPr>
          <w:i/>
        </w:rPr>
        <w:t>Defending the Holy Land</w:t>
      </w:r>
      <w:r>
        <w:t>, University of Michigan Press, 2006, pp. 175-176</w:t>
      </w:r>
    </w:p>
  </w:footnote>
  <w:footnote w:id="305">
    <w:p w:rsidR="002B4254" w:rsidRDefault="002B4254">
      <w:pPr>
        <w:pStyle w:val="FootnoteText"/>
      </w:pPr>
      <w:r>
        <w:rPr>
          <w:rStyle w:val="FootnoteReference"/>
        </w:rPr>
        <w:footnoteRef/>
      </w:r>
      <w:r>
        <w:t xml:space="preserve"> Cheryl A. Rubenberg, “</w:t>
      </w:r>
      <w:r w:rsidRPr="0096616B">
        <w:t>The Civilian Infrastructure of the Palestine Liberation Organization: An Analysis of the PLO in Lebanon Until June 1982</w:t>
      </w:r>
      <w:r>
        <w:t xml:space="preserve">,” </w:t>
      </w:r>
      <w:r>
        <w:rPr>
          <w:i/>
        </w:rPr>
        <w:t>Journal of Palestinian Studies</w:t>
      </w:r>
      <w:r>
        <w:t>, Vol. 12, No. 3 (Spring, 1983), pp. 54-78</w:t>
      </w:r>
    </w:p>
  </w:footnote>
  <w:footnote w:id="306">
    <w:p w:rsidR="002B4254" w:rsidRDefault="002B4254">
      <w:pPr>
        <w:pStyle w:val="FootnoteText"/>
      </w:pPr>
      <w:r>
        <w:rPr>
          <w:rStyle w:val="FootnoteReference"/>
        </w:rPr>
        <w:footnoteRef/>
      </w:r>
      <w:r>
        <w:t xml:space="preserve"> It appears that the PRCS did some of this as well, although its direct connection to the PLO, a party to the conflict, makes this less conceptually problematic.</w:t>
      </w:r>
    </w:p>
  </w:footnote>
  <w:footnote w:id="307">
    <w:p w:rsidR="002B4254" w:rsidRPr="00003FA5" w:rsidRDefault="002B4254">
      <w:pPr>
        <w:pStyle w:val="FootnoteText"/>
      </w:pPr>
      <w:r>
        <w:rPr>
          <w:rStyle w:val="FootnoteReference"/>
        </w:rPr>
        <w:footnoteRef/>
      </w:r>
      <w:r>
        <w:t xml:space="preserve"> Abraham, </w:t>
      </w:r>
      <w:r>
        <w:rPr>
          <w:i/>
        </w:rPr>
        <w:t>The Lebanon War</w:t>
      </w:r>
      <w:r>
        <w:t>, p. 93</w:t>
      </w:r>
    </w:p>
  </w:footnote>
  <w:footnote w:id="308">
    <w:p w:rsidR="002B4254" w:rsidRPr="00020B24" w:rsidRDefault="002B4254">
      <w:pPr>
        <w:pStyle w:val="FootnoteText"/>
      </w:pPr>
      <w:r>
        <w:rPr>
          <w:rStyle w:val="FootnoteReference"/>
        </w:rPr>
        <w:footnoteRef/>
      </w:r>
      <w:r>
        <w:t xml:space="preserve"> Rashid</w:t>
      </w:r>
      <w:r w:rsidRPr="005E4B61">
        <w:t xml:space="preserve"> </w:t>
      </w:r>
      <w:r>
        <w:t xml:space="preserve">Khalidi, “The Palestinian Dilemma: PLO Policy after Lebanon,” </w:t>
      </w:r>
      <w:r>
        <w:rPr>
          <w:i/>
        </w:rPr>
        <w:t>Journal of Palestinian Studies</w:t>
      </w:r>
      <w:r>
        <w:t>, Vol. 15, No. 1 (Autumn, 1985), pp. 88-103</w:t>
      </w:r>
    </w:p>
  </w:footnote>
  <w:footnote w:id="309">
    <w:p w:rsidR="002B4254" w:rsidRPr="00020B24" w:rsidRDefault="002B4254">
      <w:pPr>
        <w:pStyle w:val="FootnoteText"/>
      </w:pPr>
      <w:r>
        <w:rPr>
          <w:rStyle w:val="FootnoteReference"/>
        </w:rPr>
        <w:footnoteRef/>
      </w:r>
      <w:r>
        <w:t xml:space="preserve"> Helen Cobban, “The Dilemma of the PLO,” </w:t>
      </w:r>
      <w:r>
        <w:rPr>
          <w:i/>
        </w:rPr>
        <w:t>MERIP Reports</w:t>
      </w:r>
      <w:r>
        <w:t>, No. 119 (Nov. – Dec. 1983), pp. 3-6</w:t>
      </w:r>
    </w:p>
  </w:footnote>
  <w:footnote w:id="310">
    <w:p w:rsidR="002B4254" w:rsidRDefault="002B4254">
      <w:pPr>
        <w:pStyle w:val="FootnoteText"/>
      </w:pPr>
      <w:r>
        <w:rPr>
          <w:rStyle w:val="FootnoteReference"/>
        </w:rPr>
        <w:footnoteRef/>
      </w:r>
      <w:r>
        <w:t xml:space="preserve"> Thomas Jaye, </w:t>
      </w:r>
      <w:r>
        <w:rPr>
          <w:i/>
        </w:rPr>
        <w:t>Issues of Sovereignty, Strategy, and Security in the Economic Community of West African States (ECOWAS) Intervention in the Liberian Civil War</w:t>
      </w:r>
      <w:r>
        <w:t>, The Edwin Mellen Press, 2003, pp. 108-110</w:t>
      </w:r>
    </w:p>
  </w:footnote>
  <w:footnote w:id="311">
    <w:p w:rsidR="002B4254" w:rsidRDefault="002B4254">
      <w:pPr>
        <w:pStyle w:val="FootnoteText"/>
      </w:pPr>
      <w:r>
        <w:rPr>
          <w:rStyle w:val="FootnoteReference"/>
        </w:rPr>
        <w:footnoteRef/>
      </w:r>
      <w:r>
        <w:t xml:space="preserve"> Colin M. Waugh, </w:t>
      </w:r>
      <w:r>
        <w:rPr>
          <w:i/>
        </w:rPr>
        <w:t>Charles Taylor and Liberia: Ambition and Atrocity in Africa’s Lone Star State</w:t>
      </w:r>
      <w:r>
        <w:t>, Zed Books, 2011, pp. 128-130</w:t>
      </w:r>
    </w:p>
  </w:footnote>
  <w:footnote w:id="312">
    <w:p w:rsidR="002B4254" w:rsidRDefault="002B4254">
      <w:pPr>
        <w:pStyle w:val="FootnoteText"/>
      </w:pPr>
      <w:r>
        <w:rPr>
          <w:rStyle w:val="FootnoteReference"/>
        </w:rPr>
        <w:footnoteRef/>
      </w:r>
      <w:r>
        <w:t xml:space="preserve"> Jaye, </w:t>
      </w:r>
      <w:r>
        <w:rPr>
          <w:i/>
        </w:rPr>
        <w:t>Issues of Sovereignty</w:t>
      </w:r>
      <w:r>
        <w:t>, pp. 121-130; the would-be police officers would then steal the belongings that had been looted for themselves.</w:t>
      </w:r>
    </w:p>
  </w:footnote>
  <w:footnote w:id="313">
    <w:p w:rsidR="002B4254" w:rsidRDefault="002B4254">
      <w:pPr>
        <w:pStyle w:val="FootnoteText"/>
      </w:pPr>
      <w:r>
        <w:rPr>
          <w:rStyle w:val="FootnoteReference"/>
        </w:rPr>
        <w:footnoteRef/>
      </w:r>
      <w:r>
        <w:t xml:space="preserve"> Felix Gerdes, </w:t>
      </w:r>
      <w:r>
        <w:rPr>
          <w:i/>
        </w:rPr>
        <w:t>Civil War and State Formation: The Political Economy of War and Peace in Liberia</w:t>
      </w:r>
      <w:r>
        <w:t>, Campus, 2013, pp. 64-73</w:t>
      </w:r>
    </w:p>
  </w:footnote>
  <w:footnote w:id="314">
    <w:p w:rsidR="002B4254" w:rsidRDefault="002B4254">
      <w:pPr>
        <w:pStyle w:val="FootnoteText"/>
      </w:pPr>
      <w:r>
        <w:rPr>
          <w:rStyle w:val="FootnoteReference"/>
        </w:rPr>
        <w:footnoteRef/>
      </w:r>
      <w:r>
        <w:t xml:space="preserve"> </w:t>
      </w:r>
      <w:r w:rsidRPr="005366F4">
        <w:t>RENAMO adopted this strategy as well</w:t>
      </w:r>
    </w:p>
  </w:footnote>
  <w:footnote w:id="315">
    <w:p w:rsidR="002B4254" w:rsidRPr="00206275" w:rsidRDefault="002B4254">
      <w:pPr>
        <w:pStyle w:val="FootnoteText"/>
      </w:pPr>
      <w:r>
        <w:rPr>
          <w:rStyle w:val="FootnoteReference"/>
        </w:rPr>
        <w:footnoteRef/>
      </w:r>
      <w:r>
        <w:t xml:space="preserve"> Jaye, </w:t>
      </w:r>
      <w:r>
        <w:rPr>
          <w:i/>
        </w:rPr>
        <w:t>Issues of Sovereignty</w:t>
      </w:r>
      <w:r>
        <w:t>, pp. 127, 134</w:t>
      </w:r>
    </w:p>
  </w:footnote>
  <w:footnote w:id="316">
    <w:p w:rsidR="002B4254" w:rsidRDefault="002B4254">
      <w:pPr>
        <w:pStyle w:val="FootnoteText"/>
      </w:pPr>
      <w:r>
        <w:rPr>
          <w:rStyle w:val="FootnoteReference"/>
        </w:rPr>
        <w:footnoteRef/>
      </w:r>
      <w:r>
        <w:t xml:space="preserve"> Sharon Alane Abramowitz, </w:t>
      </w:r>
      <w:r>
        <w:rPr>
          <w:i/>
        </w:rPr>
        <w:t>Searching for Normal in the Wake of the Liberian War</w:t>
      </w:r>
      <w:r>
        <w:t>, University of Pennsylvania Press, 2014, pp. 18-19</w:t>
      </w:r>
    </w:p>
  </w:footnote>
  <w:footnote w:id="317">
    <w:p w:rsidR="002B4254" w:rsidRDefault="002B4254">
      <w:pPr>
        <w:pStyle w:val="FootnoteText"/>
      </w:pPr>
      <w:r>
        <w:rPr>
          <w:rStyle w:val="FootnoteReference"/>
        </w:rPr>
        <w:footnoteRef/>
      </w:r>
      <w:r>
        <w:t xml:space="preserve"> Adekeye Adebajo, </w:t>
      </w:r>
      <w:r>
        <w:rPr>
          <w:i/>
        </w:rPr>
        <w:t>Liberia’s Civil War: Nigeria, ECOMOG, and Regional Security in West Africa</w:t>
      </w:r>
      <w:r>
        <w:t>, Lynne Rienner, 2002, pp.</w:t>
      </w:r>
      <w:r w:rsidRPr="00A86A5E">
        <w:t xml:space="preserve"> 58-59, 86-</w:t>
      </w:r>
      <w:r>
        <w:t>8</w:t>
      </w:r>
      <w:r w:rsidRPr="00A86A5E">
        <w:t>9</w:t>
      </w:r>
      <w:r>
        <w:t xml:space="preserve"> </w:t>
      </w:r>
    </w:p>
  </w:footnote>
  <w:footnote w:id="318">
    <w:p w:rsidR="002B4254" w:rsidRPr="00206275" w:rsidRDefault="002B4254">
      <w:pPr>
        <w:pStyle w:val="FootnoteText"/>
      </w:pPr>
      <w:r>
        <w:rPr>
          <w:rStyle w:val="FootnoteReference"/>
        </w:rPr>
        <w:footnoteRef/>
      </w:r>
      <w:r>
        <w:t xml:space="preserve"> Jaye, </w:t>
      </w:r>
      <w:r>
        <w:rPr>
          <w:i/>
        </w:rPr>
        <w:t>Issues of Sovereignty</w:t>
      </w:r>
      <w:r>
        <w:t>, pp. 147-149</w:t>
      </w:r>
    </w:p>
  </w:footnote>
  <w:footnote w:id="319">
    <w:p w:rsidR="002B4254" w:rsidRDefault="002B4254">
      <w:pPr>
        <w:pStyle w:val="FootnoteText"/>
      </w:pPr>
      <w:r>
        <w:rPr>
          <w:rStyle w:val="FootnoteReference"/>
        </w:rPr>
        <w:footnoteRef/>
      </w:r>
      <w:r>
        <w:t xml:space="preserve"> Emmanuel Dolo, </w:t>
      </w:r>
      <w:r>
        <w:rPr>
          <w:i/>
        </w:rPr>
        <w:t>Democracy Versus Dictatorship: The Quest for Freedom and Justice in Africa’s Oldest Republic—Liberia</w:t>
      </w:r>
      <w:r>
        <w:t>, University Press of Africa, 1996, pp. 73-89</w:t>
      </w:r>
    </w:p>
  </w:footnote>
  <w:footnote w:id="320">
    <w:p w:rsidR="002B4254" w:rsidRDefault="002B4254">
      <w:pPr>
        <w:pStyle w:val="FootnoteText"/>
      </w:pPr>
      <w:r>
        <w:rPr>
          <w:rStyle w:val="FootnoteReference"/>
        </w:rPr>
        <w:footnoteRef/>
      </w:r>
      <w:r>
        <w:t xml:space="preserve"> Waugh, </w:t>
      </w:r>
      <w:r>
        <w:rPr>
          <w:i/>
        </w:rPr>
        <w:t>Charles Taylor</w:t>
      </w:r>
      <w:r>
        <w:t>, pp. 174-178, 228-236</w:t>
      </w:r>
    </w:p>
  </w:footnote>
  <w:footnote w:id="321">
    <w:p w:rsidR="002B4254" w:rsidRDefault="002B4254">
      <w:pPr>
        <w:pStyle w:val="FootnoteText"/>
      </w:pPr>
      <w:r>
        <w:rPr>
          <w:rStyle w:val="FootnoteReference"/>
        </w:rPr>
        <w:footnoteRef/>
      </w:r>
      <w:r>
        <w:t xml:space="preserve"> This has come under scrutiny since the initially positive evaluation.</w:t>
      </w:r>
    </w:p>
  </w:footnote>
  <w:footnote w:id="322">
    <w:p w:rsidR="002B4254" w:rsidRDefault="002B4254">
      <w:pPr>
        <w:pStyle w:val="FootnoteText"/>
      </w:pPr>
      <w:r>
        <w:rPr>
          <w:rStyle w:val="FootnoteReference"/>
        </w:rPr>
        <w:footnoteRef/>
      </w:r>
      <w:r>
        <w:t xml:space="preserve"> Gerdes, </w:t>
      </w:r>
      <w:r>
        <w:rPr>
          <w:i/>
        </w:rPr>
        <w:t>Civil War and State Formation</w:t>
      </w:r>
      <w:r>
        <w:t>, pp. 132-140</w:t>
      </w:r>
    </w:p>
  </w:footnote>
  <w:footnote w:id="323">
    <w:p w:rsidR="002B4254" w:rsidRDefault="002B4254">
      <w:pPr>
        <w:pStyle w:val="FootnoteText"/>
      </w:pPr>
      <w:r>
        <w:rPr>
          <w:rStyle w:val="FootnoteReference"/>
        </w:rPr>
        <w:footnoteRef/>
      </w:r>
      <w:r>
        <w:t xml:space="preserve"> Ibid. pp. 154-168 </w:t>
      </w:r>
    </w:p>
  </w:footnote>
  <w:footnote w:id="324">
    <w:p w:rsidR="002B4254" w:rsidRDefault="002B4254">
      <w:pPr>
        <w:pStyle w:val="FootnoteText"/>
      </w:pPr>
      <w:r>
        <w:rPr>
          <w:rStyle w:val="FootnoteReference"/>
        </w:rPr>
        <w:footnoteRef/>
      </w:r>
      <w:r>
        <w:t xml:space="preserve"> This was in part an administrative failure, but it was also in part due to UN sanctions applied in May of 2001, (see: Jaye, </w:t>
      </w:r>
      <w:r>
        <w:rPr>
          <w:i/>
        </w:rPr>
        <w:t>Issues of Sovereignty</w:t>
      </w:r>
      <w:r>
        <w:t>, p. 208).</w:t>
      </w:r>
    </w:p>
  </w:footnote>
  <w:footnote w:id="325">
    <w:p w:rsidR="002B4254" w:rsidRPr="00666A71" w:rsidRDefault="002B4254">
      <w:pPr>
        <w:pStyle w:val="FootnoteText"/>
      </w:pPr>
      <w:r>
        <w:rPr>
          <w:rStyle w:val="FootnoteReference"/>
        </w:rPr>
        <w:footnoteRef/>
      </w:r>
      <w:r>
        <w:t xml:space="preserve"> Gerdes, </w:t>
      </w:r>
      <w:r>
        <w:rPr>
          <w:i/>
        </w:rPr>
        <w:t>Civil War and State Formation</w:t>
      </w:r>
      <w:r>
        <w:t>, pp. 168-172</w:t>
      </w:r>
    </w:p>
  </w:footnote>
  <w:footnote w:id="326">
    <w:p w:rsidR="002B4254" w:rsidRPr="00F77AB4" w:rsidRDefault="002B4254">
      <w:pPr>
        <w:pStyle w:val="FootnoteText"/>
      </w:pPr>
      <w:r>
        <w:rPr>
          <w:rStyle w:val="FootnoteReference"/>
        </w:rPr>
        <w:footnoteRef/>
      </w:r>
      <w:r>
        <w:t xml:space="preserve"> James</w:t>
      </w:r>
      <w:r w:rsidRPr="005E4B61">
        <w:t xml:space="preserve"> </w:t>
      </w:r>
      <w:r>
        <w:t xml:space="preserve">Brabazon, “Liberia: Liberians United for Reconciliation and Democracy,” </w:t>
      </w:r>
      <w:r>
        <w:rPr>
          <w:i/>
        </w:rPr>
        <w:t>Armed Non-State Actors Project</w:t>
      </w:r>
      <w:r>
        <w:t xml:space="preserve">, Working Paper 1 (February, 2003), The Royal Institute of International Affairs, </w:t>
      </w:r>
      <w:hyperlink r:id="rId17" w:history="1">
        <w:r w:rsidRPr="00FE07B4">
          <w:rPr>
            <w:rStyle w:val="Hyperlink"/>
          </w:rPr>
          <w:t>https://www.chathamhouse.org/sites/files/chathamhouse/public/Research/Africa/brabazon_bp.pdf</w:t>
        </w:r>
      </w:hyperlink>
      <w:r>
        <w:t xml:space="preserve"> (accessed February 7, 2017), p. 11</w:t>
      </w:r>
    </w:p>
  </w:footnote>
  <w:footnote w:id="327">
    <w:p w:rsidR="002B4254" w:rsidRDefault="002B4254">
      <w:pPr>
        <w:pStyle w:val="FootnoteText"/>
      </w:pPr>
      <w:r>
        <w:rPr>
          <w:rStyle w:val="FootnoteReference"/>
        </w:rPr>
        <w:footnoteRef/>
      </w:r>
      <w:r>
        <w:t xml:space="preserve"> Nicholai Lidow, “Rebel Governance and Civilian Abuse: Comparing Liberia’s Rebels Using Satellite Data,” </w:t>
      </w:r>
      <w:r>
        <w:rPr>
          <w:i/>
        </w:rPr>
        <w:t>WGAPE</w:t>
      </w:r>
      <w:r w:rsidRPr="005D0DFE">
        <w:t>,</w:t>
      </w:r>
      <w:r>
        <w:rPr>
          <w:i/>
        </w:rPr>
        <w:t xml:space="preserve"> </w:t>
      </w:r>
      <w:r>
        <w:t xml:space="preserve">(December 17-18, 2010), </w:t>
      </w:r>
      <w:hyperlink r:id="rId18" w:history="1">
        <w:r w:rsidRPr="00FE07B4">
          <w:rPr>
            <w:rStyle w:val="Hyperlink"/>
          </w:rPr>
          <w:t>http://cega.berkeley.edu/assets/miscellaneous_files/wgape/19_Lidow.pdf</w:t>
        </w:r>
      </w:hyperlink>
      <w:r>
        <w:t xml:space="preserve"> (accessed February 7, 2017), p. 18</w:t>
      </w:r>
    </w:p>
  </w:footnote>
  <w:footnote w:id="328">
    <w:p w:rsidR="002B4254" w:rsidRDefault="002B4254">
      <w:pPr>
        <w:pStyle w:val="FootnoteText"/>
      </w:pPr>
      <w:r>
        <w:rPr>
          <w:rStyle w:val="FootnoteReference"/>
        </w:rPr>
        <w:footnoteRef/>
      </w:r>
      <w:r>
        <w:t xml:space="preserve"> Waugh, </w:t>
      </w:r>
      <w:r>
        <w:rPr>
          <w:i/>
        </w:rPr>
        <w:t>Charles Taylor</w:t>
      </w:r>
      <w:r>
        <w:t>, pp. 264-268</w:t>
      </w:r>
    </w:p>
  </w:footnote>
  <w:footnote w:id="329">
    <w:p w:rsidR="002B4254" w:rsidRDefault="002B4254">
      <w:pPr>
        <w:pStyle w:val="FootnoteText"/>
      </w:pPr>
      <w:r>
        <w:rPr>
          <w:rStyle w:val="FootnoteReference"/>
        </w:rPr>
        <w:footnoteRef/>
      </w:r>
      <w:r>
        <w:t xml:space="preserve"> Lidow, “Rebel Governance,” pp. 18-19</w:t>
      </w:r>
    </w:p>
  </w:footnote>
  <w:footnote w:id="330">
    <w:p w:rsidR="002B4254" w:rsidRDefault="002B4254">
      <w:pPr>
        <w:pStyle w:val="FootnoteText"/>
      </w:pPr>
      <w:r>
        <w:rPr>
          <w:rStyle w:val="FootnoteReference"/>
        </w:rPr>
        <w:footnoteRef/>
      </w:r>
      <w:r>
        <w:t xml:space="preserve"> Brabazon, “LURD,” p. 8</w:t>
      </w:r>
    </w:p>
  </w:footnote>
  <w:footnote w:id="331">
    <w:p w:rsidR="002B4254" w:rsidRPr="003B53F9" w:rsidRDefault="002B4254">
      <w:pPr>
        <w:pStyle w:val="FootnoteText"/>
      </w:pPr>
      <w:r>
        <w:rPr>
          <w:rStyle w:val="FootnoteReference"/>
        </w:rPr>
        <w:footnoteRef/>
      </w:r>
      <w:r>
        <w:t xml:space="preserve"> Gerdes, </w:t>
      </w:r>
      <w:r>
        <w:rPr>
          <w:i/>
        </w:rPr>
        <w:t>Civil War and State Formation</w:t>
      </w:r>
      <w:r>
        <w:t>, p. 172</w:t>
      </w:r>
    </w:p>
  </w:footnote>
  <w:footnote w:id="332">
    <w:p w:rsidR="002B4254" w:rsidRDefault="002B4254">
      <w:pPr>
        <w:pStyle w:val="FootnoteText"/>
      </w:pPr>
      <w:r>
        <w:rPr>
          <w:rStyle w:val="FootnoteReference"/>
        </w:rPr>
        <w:footnoteRef/>
      </w:r>
      <w:r>
        <w:t xml:space="preserve"> Peter Wallensteen, and Margareta Sollenberg, “Armed Conflicts, Conflict Termination and Peace Agreements, 1989-96,” </w:t>
      </w:r>
      <w:r>
        <w:rPr>
          <w:i/>
        </w:rPr>
        <w:t>Journal of Peace Research</w:t>
      </w:r>
      <w:r>
        <w:t xml:space="preserve">, Vol. 34, No. 3 (Aug. 1997), p. 351 </w:t>
      </w:r>
    </w:p>
  </w:footnote>
  <w:footnote w:id="333">
    <w:p w:rsidR="002B4254" w:rsidRDefault="002B4254">
      <w:pPr>
        <w:pStyle w:val="FootnoteText"/>
      </w:pPr>
      <w:r>
        <w:rPr>
          <w:rStyle w:val="FootnoteReference"/>
        </w:rPr>
        <w:footnoteRef/>
      </w:r>
      <w:r>
        <w:t xml:space="preserve"> Baz Lecocq and Georg Klute, “Tuareg Separatism in Mali,” </w:t>
      </w:r>
      <w:r>
        <w:rPr>
          <w:i/>
        </w:rPr>
        <w:t>International Journal</w:t>
      </w:r>
      <w:r>
        <w:t>, Vol 68, No. 3 (Sept. 2013), pp. 426-428</w:t>
      </w:r>
    </w:p>
  </w:footnote>
  <w:footnote w:id="334">
    <w:p w:rsidR="002B4254" w:rsidRDefault="002B4254" w:rsidP="007A203F">
      <w:pPr>
        <w:pStyle w:val="FootnoteText"/>
      </w:pPr>
      <w:r>
        <w:rPr>
          <w:rStyle w:val="FootnoteReference"/>
        </w:rPr>
        <w:footnoteRef/>
      </w:r>
      <w:r>
        <w:t xml:space="preserve"> Kalifa Keita, “Conflict and Conflict Resolution in the Sahel: The Tuareg Insurgency in Mali,” </w:t>
      </w:r>
      <w:r>
        <w:rPr>
          <w:i/>
        </w:rPr>
        <w:t>Strategic Studies Institute</w:t>
      </w:r>
      <w:r>
        <w:t xml:space="preserve">, May 1, 1998, </w:t>
      </w:r>
      <w:hyperlink r:id="rId19" w:history="1">
        <w:r w:rsidRPr="00646AE2">
          <w:rPr>
            <w:rStyle w:val="Hyperlink"/>
          </w:rPr>
          <w:t>https://permanent.access.gpo.gov/lps12312/carlisle-www.army.mil/usassi/ssipubs/pubs98/tuareg/tuareg.pdf</w:t>
        </w:r>
      </w:hyperlink>
      <w:r>
        <w:t xml:space="preserve"> (accessed March 20, 2017), pp. 2-6, 16-19</w:t>
      </w:r>
    </w:p>
  </w:footnote>
  <w:footnote w:id="335">
    <w:p w:rsidR="002B4254" w:rsidRDefault="002B4254">
      <w:pPr>
        <w:pStyle w:val="FootnoteText"/>
      </w:pPr>
      <w:r>
        <w:rPr>
          <w:rStyle w:val="FootnoteReference"/>
        </w:rPr>
        <w:footnoteRef/>
      </w:r>
      <w:r>
        <w:t xml:space="preserve"> Thomas Krings, </w:t>
      </w:r>
      <w:r>
        <w:rPr>
          <w:i/>
        </w:rPr>
        <w:t>GeoJournal</w:t>
      </w:r>
      <w:r>
        <w:t>, Vol. 36, No. 1 (May, 1995), pp. 60-62</w:t>
      </w:r>
    </w:p>
  </w:footnote>
  <w:footnote w:id="336">
    <w:p w:rsidR="002B4254" w:rsidRDefault="002B4254">
      <w:pPr>
        <w:pStyle w:val="FootnoteText"/>
      </w:pPr>
      <w:r>
        <w:rPr>
          <w:rStyle w:val="FootnoteReference"/>
        </w:rPr>
        <w:footnoteRef/>
      </w:r>
      <w:r>
        <w:t xml:space="preserve"> Stuart J. Kaufman, “Spiraling to Ethnic War: Elites, Masses, and Moscow in Moldova’s Civil War,” </w:t>
      </w:r>
      <w:r>
        <w:rPr>
          <w:i/>
        </w:rPr>
        <w:t>International Security</w:t>
      </w:r>
      <w:r>
        <w:t>, Vol. 21, No. 2 (Fall, 1996), pp. 119-133</w:t>
      </w:r>
    </w:p>
  </w:footnote>
  <w:footnote w:id="337">
    <w:p w:rsidR="002B4254" w:rsidRDefault="002B4254">
      <w:pPr>
        <w:pStyle w:val="FootnoteText"/>
      </w:pPr>
      <w:r>
        <w:rPr>
          <w:rStyle w:val="FootnoteReference"/>
        </w:rPr>
        <w:footnoteRef/>
      </w:r>
      <w:r>
        <w:t xml:space="preserve"> Ibid. p. 128; Smirnov became the president as a result of the referendum.</w:t>
      </w:r>
    </w:p>
  </w:footnote>
  <w:footnote w:id="338">
    <w:p w:rsidR="002B4254" w:rsidRPr="00C90B91" w:rsidRDefault="002B4254">
      <w:pPr>
        <w:pStyle w:val="FootnoteText"/>
      </w:pPr>
      <w:r>
        <w:rPr>
          <w:rStyle w:val="FootnoteReference"/>
        </w:rPr>
        <w:footnoteRef/>
      </w:r>
      <w:r>
        <w:t xml:space="preserve"> Bernardo Venturi, “Civil Society Organizations and Conflict Resolution: Moldova-Transnistra,” </w:t>
      </w:r>
      <w:r>
        <w:rPr>
          <w:i/>
        </w:rPr>
        <w:t>International Journal on World Peace</w:t>
      </w:r>
      <w:r>
        <w:t>, Vol. 28, No. 2 (June, 2011), pp. 7-34</w:t>
      </w:r>
    </w:p>
  </w:footnote>
  <w:footnote w:id="339">
    <w:p w:rsidR="002B4254" w:rsidRPr="00577B92" w:rsidRDefault="002B4254">
      <w:pPr>
        <w:pStyle w:val="FootnoteText"/>
      </w:pPr>
      <w:r>
        <w:rPr>
          <w:rStyle w:val="FootnoteReference"/>
        </w:rPr>
        <w:footnoteRef/>
      </w:r>
      <w:r>
        <w:t xml:space="preserve"> Charles King, “Moldova and the New Bessarabian Questions,” </w:t>
      </w:r>
      <w:r>
        <w:rPr>
          <w:i/>
        </w:rPr>
        <w:t>The World Today</w:t>
      </w:r>
      <w:r>
        <w:t>, Vol. 49, No. 7 (July 1993), pp. 135-139</w:t>
      </w:r>
    </w:p>
  </w:footnote>
  <w:footnote w:id="340">
    <w:p w:rsidR="002B4254" w:rsidRPr="00C01AED" w:rsidRDefault="002B4254">
      <w:pPr>
        <w:pStyle w:val="FootnoteText"/>
      </w:pPr>
      <w:r>
        <w:rPr>
          <w:rStyle w:val="FootnoteReference"/>
        </w:rPr>
        <w:footnoteRef/>
      </w:r>
      <w:r>
        <w:t xml:space="preserve"> Alexandru</w:t>
      </w:r>
      <w:r w:rsidRPr="005E4B61">
        <w:t xml:space="preserve"> </w:t>
      </w:r>
      <w:r>
        <w:t xml:space="preserve">Molcean and Natalie Verständig, “Moldova: The Transnistrian Conflict,” </w:t>
      </w:r>
      <w:r w:rsidRPr="00C01AED">
        <w:rPr>
          <w:i/>
        </w:rPr>
        <w:t>Conflict, Crime, and the State in Postcommunist Eurasia</w:t>
      </w:r>
      <w:r>
        <w:t>, eds. Svante Cornell, Michael Jonsson, University of Pennsylvania Press, 2014, pp. 129-150</w:t>
      </w:r>
    </w:p>
  </w:footnote>
  <w:footnote w:id="341">
    <w:p w:rsidR="002B4254" w:rsidRDefault="002B4254">
      <w:pPr>
        <w:pStyle w:val="FootnoteText"/>
      </w:pPr>
      <w:r>
        <w:rPr>
          <w:rStyle w:val="FootnoteReference"/>
        </w:rPr>
        <w:footnoteRef/>
      </w:r>
      <w:r>
        <w:t xml:space="preserve"> David Seddon, “</w:t>
      </w:r>
      <w:r w:rsidRPr="009B38A9">
        <w:t>Polisario and the Struggle for the Western Sahara:</w:t>
      </w:r>
      <w:r>
        <w:t xml:space="preserve"> Recent Developments, 1987-1989,” </w:t>
      </w:r>
      <w:r>
        <w:rPr>
          <w:i/>
        </w:rPr>
        <w:t>Review of African Political Economy</w:t>
      </w:r>
      <w:r>
        <w:t>, No. 45/46 (1989), pp. 132-133</w:t>
      </w:r>
    </w:p>
  </w:footnote>
  <w:footnote w:id="342">
    <w:p w:rsidR="002B4254" w:rsidRDefault="002B4254">
      <w:pPr>
        <w:pStyle w:val="FootnoteText"/>
      </w:pPr>
      <w:r>
        <w:rPr>
          <w:rStyle w:val="FootnoteReference"/>
        </w:rPr>
        <w:footnoteRef/>
      </w:r>
      <w:r>
        <w:t xml:space="preserve"> J. Naldi, “</w:t>
      </w:r>
      <w:r w:rsidRPr="008923EC">
        <w:t>The Organization of African Unity and the Saharan Arab Democratic Republic</w:t>
      </w:r>
      <w:r>
        <w:t xml:space="preserve">,” </w:t>
      </w:r>
      <w:r>
        <w:rPr>
          <w:i/>
        </w:rPr>
        <w:t>Journal of African Law</w:t>
      </w:r>
      <w:r>
        <w:t>, Vol. 26, No. 2 (Autumn, 1982), pp. 152-157</w:t>
      </w:r>
    </w:p>
  </w:footnote>
  <w:footnote w:id="343">
    <w:p w:rsidR="002B4254" w:rsidRDefault="002B4254">
      <w:pPr>
        <w:pStyle w:val="FootnoteText"/>
      </w:pPr>
      <w:r>
        <w:rPr>
          <w:rStyle w:val="FootnoteReference"/>
        </w:rPr>
        <w:footnoteRef/>
      </w:r>
      <w:r>
        <w:t xml:space="preserve"> Anne Lippert, “Sahrawi Women in the Liberation Struggle of the Sahrawi People,” </w:t>
      </w:r>
      <w:r>
        <w:rPr>
          <w:i/>
        </w:rPr>
        <w:t>Signs</w:t>
      </w:r>
      <w:r>
        <w:t>, Vol. 17, No. 3 (Spring, 1992), pp. 639, 643-646</w:t>
      </w:r>
    </w:p>
  </w:footnote>
  <w:footnote w:id="344">
    <w:p w:rsidR="002B4254" w:rsidRDefault="002B4254">
      <w:pPr>
        <w:pStyle w:val="FootnoteText"/>
      </w:pPr>
      <w:r>
        <w:rPr>
          <w:rStyle w:val="FootnoteReference"/>
        </w:rPr>
        <w:footnoteRef/>
      </w:r>
      <w:r>
        <w:t xml:space="preserve"> David Seddon, “Western Sahara Tug-of-War,” </w:t>
      </w:r>
      <w:r>
        <w:rPr>
          <w:i/>
        </w:rPr>
        <w:t>Review of African Political Economy</w:t>
      </w:r>
      <w:r>
        <w:t>, No. 52 (Nov. 1991), p. 112,</w:t>
      </w:r>
    </w:p>
  </w:footnote>
  <w:footnote w:id="345">
    <w:p w:rsidR="002B4254" w:rsidRDefault="002B4254">
      <w:pPr>
        <w:pStyle w:val="FootnoteText"/>
      </w:pPr>
      <w:r>
        <w:rPr>
          <w:rStyle w:val="FootnoteReference"/>
        </w:rPr>
        <w:footnoteRef/>
      </w:r>
      <w:r>
        <w:t xml:space="preserve"> Raoul Weexstein, “Fighters in the Desert,” </w:t>
      </w:r>
      <w:r>
        <w:rPr>
          <w:i/>
        </w:rPr>
        <w:t>MERIP Reports</w:t>
      </w:r>
      <w:r>
        <w:t>, No. 45 (Mar., 1976), p. 4</w:t>
      </w:r>
    </w:p>
  </w:footnote>
  <w:footnote w:id="346">
    <w:p w:rsidR="002B4254" w:rsidRDefault="002B4254">
      <w:pPr>
        <w:pStyle w:val="FootnoteText"/>
      </w:pPr>
      <w:r>
        <w:rPr>
          <w:rStyle w:val="FootnoteReference"/>
        </w:rPr>
        <w:footnoteRef/>
      </w:r>
      <w:r>
        <w:t xml:space="preserve"> Randa Farah, “Refugee Camps</w:t>
      </w:r>
      <w:r w:rsidRPr="00833C86">
        <w:rPr>
          <w:sz w:val="22"/>
          <w:szCs w:val="22"/>
        </w:rPr>
        <w:t xml:space="preserve"> </w:t>
      </w:r>
      <w:r w:rsidRPr="00833C86">
        <w:t>in the Palestinian and Sahrawi National Liberation Movements: A Comparative Perspective</w:t>
      </w:r>
      <w:r>
        <w:t xml:space="preserve">,” </w:t>
      </w:r>
      <w:r>
        <w:rPr>
          <w:i/>
        </w:rPr>
        <w:t>Journal of Palestine Studies</w:t>
      </w:r>
      <w:r>
        <w:t>, Vol. 38, No. 2 (Winter 2009), pp. 82-84; education is viewed as being especially critical to SADR’s ultimate success, as it provides a means of removing kinship barriers from its agenda of national liberation. This is doubly impressive when one considers the fact that the Polisario Front did not see itself as a vanguard, dictating emancipatory ideology to a captive audience (see: Stephen Zunes,</w:t>
      </w:r>
      <w:r w:rsidRPr="00833C86">
        <w:rPr>
          <w:sz w:val="22"/>
          <w:szCs w:val="22"/>
        </w:rPr>
        <w:t xml:space="preserve"> </w:t>
      </w:r>
      <w:r>
        <w:rPr>
          <w:sz w:val="22"/>
          <w:szCs w:val="22"/>
        </w:rPr>
        <w:t>“</w:t>
      </w:r>
      <w:r w:rsidRPr="00833C86">
        <w:t>Nationalism and Non-Alignment: The Non-Ideology of the Polisario</w:t>
      </w:r>
      <w:r>
        <w:t xml:space="preserve">,” </w:t>
      </w:r>
      <w:r>
        <w:rPr>
          <w:i/>
        </w:rPr>
        <w:t>Africa Today</w:t>
      </w:r>
      <w:r>
        <w:t>, Vol. 34, No. 3 (3</w:t>
      </w:r>
      <w:r w:rsidRPr="00833C86">
        <w:rPr>
          <w:vertAlign w:val="superscript"/>
        </w:rPr>
        <w:t>rd</w:t>
      </w:r>
      <w:r>
        <w:t xml:space="preserve"> Qtr. 1987), pp. 39-40).</w:t>
      </w:r>
    </w:p>
  </w:footnote>
  <w:footnote w:id="347">
    <w:p w:rsidR="002B4254" w:rsidRDefault="002B4254">
      <w:pPr>
        <w:pStyle w:val="FootnoteText"/>
      </w:pPr>
      <w:r>
        <w:rPr>
          <w:rStyle w:val="FootnoteReference"/>
        </w:rPr>
        <w:footnoteRef/>
      </w:r>
      <w:r>
        <w:t xml:space="preserve"> Deepak Thapa and Bandita Sijapati, </w:t>
      </w:r>
      <w:r>
        <w:rPr>
          <w:i/>
        </w:rPr>
        <w:t>A Kingdom Under Siege: Nepal’s Maoist Insurgency, 1996 to 2004</w:t>
      </w:r>
      <w:r>
        <w:t>, Zed Books, 2004, pp. 51-81</w:t>
      </w:r>
    </w:p>
  </w:footnote>
  <w:footnote w:id="348">
    <w:p w:rsidR="002B4254" w:rsidRDefault="002B4254">
      <w:pPr>
        <w:pStyle w:val="FootnoteText"/>
      </w:pPr>
      <w:r>
        <w:rPr>
          <w:rStyle w:val="FootnoteReference"/>
        </w:rPr>
        <w:footnoteRef/>
      </w:r>
      <w:r>
        <w:t xml:space="preserve"> Prakash A. Raj, </w:t>
      </w:r>
      <w:r>
        <w:rPr>
          <w:i/>
        </w:rPr>
        <w:t>Maoists in the Land of Buddha: An Analytical Study of the Maoist Insurgency in Nepal</w:t>
      </w:r>
      <w:r>
        <w:t>, Nirala Publications, 2004, pp. 25-31</w:t>
      </w:r>
    </w:p>
  </w:footnote>
  <w:footnote w:id="349">
    <w:p w:rsidR="002B4254" w:rsidRDefault="002B4254">
      <w:pPr>
        <w:pStyle w:val="FootnoteText"/>
      </w:pPr>
      <w:r>
        <w:rPr>
          <w:rStyle w:val="FootnoteReference"/>
        </w:rPr>
        <w:footnoteRef/>
      </w:r>
      <w:r>
        <w:t xml:space="preserve"> Ibid. pp. 85-103</w:t>
      </w:r>
    </w:p>
  </w:footnote>
  <w:footnote w:id="350">
    <w:p w:rsidR="002B4254" w:rsidRDefault="002B4254">
      <w:pPr>
        <w:pStyle w:val="FootnoteText"/>
      </w:pPr>
      <w:r>
        <w:rPr>
          <w:rStyle w:val="FootnoteReference"/>
        </w:rPr>
        <w:footnoteRef/>
      </w:r>
      <w:r>
        <w:t xml:space="preserve"> Nishchal Nath Paney, </w:t>
      </w:r>
      <w:r>
        <w:rPr>
          <w:i/>
        </w:rPr>
        <w:t>Nepal’s Maoist Movement and Implications for India and China</w:t>
      </w:r>
      <w:r>
        <w:t>, Manohar, 2005, pp. 104-106</w:t>
      </w:r>
    </w:p>
  </w:footnote>
  <w:footnote w:id="351">
    <w:p w:rsidR="002B4254" w:rsidRPr="00DF0B92" w:rsidRDefault="002B4254">
      <w:pPr>
        <w:pStyle w:val="FootnoteText"/>
      </w:pPr>
      <w:r>
        <w:rPr>
          <w:rStyle w:val="FootnoteReference"/>
        </w:rPr>
        <w:footnoteRef/>
      </w:r>
      <w:r>
        <w:t xml:space="preserve"> Thapa, </w:t>
      </w:r>
      <w:r>
        <w:rPr>
          <w:i/>
        </w:rPr>
        <w:t>Kingdom Under Siege</w:t>
      </w:r>
      <w:r>
        <w:t>, pp. 106-109</w:t>
      </w:r>
    </w:p>
  </w:footnote>
  <w:footnote w:id="352">
    <w:p w:rsidR="002B4254" w:rsidRDefault="002B4254">
      <w:pPr>
        <w:pStyle w:val="FootnoteText"/>
      </w:pPr>
      <w:r>
        <w:rPr>
          <w:rStyle w:val="FootnoteReference"/>
        </w:rPr>
        <w:footnoteRef/>
      </w:r>
      <w:r>
        <w:t xml:space="preserve"> Roger Miranda and William Ratliff, </w:t>
      </w:r>
      <w:r>
        <w:rPr>
          <w:i/>
        </w:rPr>
        <w:t>The Civil War in Nicaragua: Inside the Sandinistas</w:t>
      </w:r>
      <w:r>
        <w:t>, Transaction Publishers, 1993, pp. 234-238</w:t>
      </w:r>
    </w:p>
  </w:footnote>
  <w:footnote w:id="353">
    <w:p w:rsidR="002B4254" w:rsidRDefault="002B4254">
      <w:pPr>
        <w:pStyle w:val="FootnoteText"/>
      </w:pPr>
      <w:r>
        <w:rPr>
          <w:rStyle w:val="FootnoteReference"/>
        </w:rPr>
        <w:footnoteRef/>
      </w:r>
      <w:r>
        <w:t xml:space="preserve"> Ibid. pp. 248-251</w:t>
      </w:r>
    </w:p>
  </w:footnote>
  <w:footnote w:id="354">
    <w:p w:rsidR="002B4254" w:rsidRDefault="002B4254">
      <w:pPr>
        <w:pStyle w:val="FootnoteText"/>
      </w:pPr>
      <w:r>
        <w:rPr>
          <w:rStyle w:val="FootnoteReference"/>
        </w:rPr>
        <w:footnoteRef/>
      </w:r>
      <w:r>
        <w:t xml:space="preserve"> Gillian Brown, “Miskito Revolution: Between Revolution and Resistance,” </w:t>
      </w:r>
      <w:r>
        <w:rPr>
          <w:i/>
        </w:rPr>
        <w:t>Nicaragua: A Revolution Under Fire</w:t>
      </w:r>
      <w:r>
        <w:t>, eds. Richard Harris and Carlos M. Vilas, Zed Books, 1985, pp. 186-189</w:t>
      </w:r>
    </w:p>
  </w:footnote>
  <w:footnote w:id="355">
    <w:p w:rsidR="002B4254" w:rsidRDefault="002B4254">
      <w:pPr>
        <w:pStyle w:val="FootnoteText"/>
      </w:pPr>
      <w:r>
        <w:rPr>
          <w:rStyle w:val="FootnoteReference"/>
        </w:rPr>
        <w:footnoteRef/>
      </w:r>
      <w:r>
        <w:t xml:space="preserve"> Lynn Horton, </w:t>
      </w:r>
      <w:r>
        <w:rPr>
          <w:i/>
        </w:rPr>
        <w:t>Peasants in Arms: War and Peace in the Mountains of Nicaragua, 1979-1994</w:t>
      </w:r>
      <w:r>
        <w:t>, Ohio University Center for International Studies, 1998, pp. 202-227</w:t>
      </w:r>
    </w:p>
  </w:footnote>
  <w:footnote w:id="356">
    <w:p w:rsidR="002B4254" w:rsidRDefault="002B4254">
      <w:pPr>
        <w:pStyle w:val="FootnoteText"/>
      </w:pPr>
      <w:r>
        <w:rPr>
          <w:rStyle w:val="FootnoteReference"/>
        </w:rPr>
        <w:footnoteRef/>
      </w:r>
      <w:r>
        <w:t xml:space="preserve"> Hector Perla Jr., “The FSLN and International Solidarity,” </w:t>
      </w:r>
      <w:r>
        <w:rPr>
          <w:i/>
        </w:rPr>
        <w:t>The Sandinistas &amp; Nicaragua Since 1979</w:t>
      </w:r>
      <w:r>
        <w:t>, eds. David Close, Salvador Martí i Puig, &amp; Shelley A. McConnell, Lynne Rienner, 2012, pp. 273-274</w:t>
      </w:r>
    </w:p>
  </w:footnote>
  <w:footnote w:id="357">
    <w:p w:rsidR="002B4254" w:rsidRDefault="002B4254">
      <w:pPr>
        <w:pStyle w:val="FootnoteText"/>
      </w:pPr>
      <w:r>
        <w:rPr>
          <w:rStyle w:val="FootnoteReference"/>
        </w:rPr>
        <w:footnoteRef/>
      </w:r>
      <w:r>
        <w:t xml:space="preserve"> </w:t>
      </w:r>
      <w:r w:rsidRPr="006C4C9B">
        <w:t>Adesoji</w:t>
      </w:r>
      <w:r>
        <w:t>, Abimbola O.</w:t>
      </w:r>
      <w:r w:rsidRPr="006C4C9B">
        <w:t xml:space="preserve"> </w:t>
      </w:r>
      <w:r>
        <w:t>“</w:t>
      </w:r>
      <w:r w:rsidRPr="006C4C9B">
        <w:t>Between Maitatsine and Boko Haram: Islamic Fundamentalism and the Response of the Nigerian State</w:t>
      </w:r>
      <w:r>
        <w:t xml:space="preserve">,” </w:t>
      </w:r>
      <w:r>
        <w:rPr>
          <w:i/>
        </w:rPr>
        <w:t>Africa Today</w:t>
      </w:r>
      <w:r>
        <w:t>, Vol. 57, No. 4 (Summer, 2011), pp. 101-102</w:t>
      </w:r>
    </w:p>
  </w:footnote>
  <w:footnote w:id="358">
    <w:p w:rsidR="002B4254" w:rsidRDefault="002B4254">
      <w:pPr>
        <w:pStyle w:val="FootnoteText"/>
      </w:pPr>
      <w:r>
        <w:rPr>
          <w:rStyle w:val="FootnoteReference"/>
        </w:rPr>
        <w:footnoteRef/>
      </w:r>
      <w:r>
        <w:t xml:space="preserve"> Henry Bienen, “Leaders, Violence, and the Absence of Change in Africa,” </w:t>
      </w:r>
      <w:r>
        <w:rPr>
          <w:i/>
        </w:rPr>
        <w:t>Political Science Quarterly</w:t>
      </w:r>
      <w:r>
        <w:t>, Vol. 108, No. 2 (Summer, 1993), p. 277</w:t>
      </w:r>
    </w:p>
  </w:footnote>
  <w:footnote w:id="359">
    <w:p w:rsidR="002B4254" w:rsidRDefault="002B4254">
      <w:pPr>
        <w:pStyle w:val="FootnoteText"/>
      </w:pPr>
      <w:r>
        <w:rPr>
          <w:rStyle w:val="FootnoteReference"/>
        </w:rPr>
        <w:footnoteRef/>
      </w:r>
      <w:r>
        <w:t xml:space="preserve"> Adesoji, “Between Maitatsine and Boko Haram,” pp. 102-106</w:t>
      </w:r>
    </w:p>
  </w:footnote>
  <w:footnote w:id="360">
    <w:p w:rsidR="002B4254" w:rsidRDefault="002B4254">
      <w:pPr>
        <w:pStyle w:val="FootnoteText"/>
      </w:pPr>
      <w:r>
        <w:rPr>
          <w:rStyle w:val="FootnoteReference"/>
        </w:rPr>
        <w:footnoteRef/>
      </w:r>
      <w:r>
        <w:t xml:space="preserve"> Mervyn Hiskett, “</w:t>
      </w:r>
      <w:r w:rsidRPr="008821E6">
        <w:t>The Maitatsine Riots in Kano, 1980: An Assessment</w:t>
      </w:r>
      <w:r>
        <w:t xml:space="preserve">,” </w:t>
      </w:r>
      <w:r>
        <w:rPr>
          <w:i/>
        </w:rPr>
        <w:t>Journal of Religion in Africa</w:t>
      </w:r>
      <w:r>
        <w:t>, Vol. 17, No. 3 (Oct., 1987), pp. 210-217</w:t>
      </w:r>
    </w:p>
  </w:footnote>
  <w:footnote w:id="361">
    <w:p w:rsidR="002B4254" w:rsidRDefault="002B4254">
      <w:pPr>
        <w:pStyle w:val="FootnoteText"/>
      </w:pPr>
      <w:r>
        <w:rPr>
          <w:rStyle w:val="FootnoteReference"/>
        </w:rPr>
        <w:footnoteRef/>
      </w:r>
      <w:r>
        <w:t xml:space="preserve"> Paul M. Lubeck, “Islamic Protest under Semi-Industrial Capitalism: ‘Yan Tatsine Explained,” </w:t>
      </w:r>
      <w:r>
        <w:rPr>
          <w:i/>
        </w:rPr>
        <w:t>Journal of International African Institute</w:t>
      </w:r>
      <w:r>
        <w:t>, Vol. 55, No. 4, (1985), pp. 369-372, 385-387</w:t>
      </w:r>
    </w:p>
  </w:footnote>
  <w:footnote w:id="362">
    <w:p w:rsidR="002B4254" w:rsidRDefault="002B4254">
      <w:pPr>
        <w:pStyle w:val="FootnoteText"/>
      </w:pPr>
      <w:r>
        <w:rPr>
          <w:rStyle w:val="FootnoteReference"/>
        </w:rPr>
        <w:footnoteRef/>
      </w:r>
      <w:r>
        <w:t xml:space="preserve"> Nasreen Gufran, “</w:t>
      </w:r>
      <w:r w:rsidRPr="00C44C7B">
        <w:t>Pushtun Ethnonationalism and the Taliban Insurgency in the North West Frontier Province of Pakistan</w:t>
      </w:r>
      <w:r>
        <w:t xml:space="preserve">,” </w:t>
      </w:r>
      <w:r>
        <w:rPr>
          <w:i/>
        </w:rPr>
        <w:t>Asian Survey</w:t>
      </w:r>
      <w:r>
        <w:t>, Vol. 49, No. 6 (Nov./Dec., 2009), pp. 1106-1107</w:t>
      </w:r>
    </w:p>
  </w:footnote>
  <w:footnote w:id="363">
    <w:p w:rsidR="002B4254" w:rsidRDefault="002B4254">
      <w:pPr>
        <w:pStyle w:val="FootnoteText"/>
      </w:pPr>
      <w:r>
        <w:rPr>
          <w:rStyle w:val="FootnoteReference"/>
        </w:rPr>
        <w:footnoteRef/>
      </w:r>
      <w:r>
        <w:t xml:space="preserve"> Omar Farooq Zain, “NWFP and the Scourge of Talibanization,” </w:t>
      </w:r>
      <w:r>
        <w:rPr>
          <w:i/>
        </w:rPr>
        <w:t>Pakistan Horizon</w:t>
      </w:r>
      <w:r>
        <w:t>, Vol. 62, No. 4 (Oct., 2009), pp. 33-34</w:t>
      </w:r>
    </w:p>
  </w:footnote>
  <w:footnote w:id="364">
    <w:p w:rsidR="002B4254" w:rsidRDefault="002B4254">
      <w:pPr>
        <w:pStyle w:val="FootnoteText"/>
      </w:pPr>
      <w:r>
        <w:rPr>
          <w:rStyle w:val="FootnoteReference"/>
        </w:rPr>
        <w:footnoteRef/>
      </w:r>
      <w:r>
        <w:t xml:space="preserve"> Kimberly Marten, </w:t>
      </w:r>
      <w:r w:rsidRPr="007F7073">
        <w:rPr>
          <w:i/>
        </w:rPr>
        <w:t>Warlords</w:t>
      </w:r>
      <w:r>
        <w:rPr>
          <w:i/>
        </w:rPr>
        <w:t>: Strong-Arm Brokers in Weak States</w:t>
      </w:r>
      <w:r>
        <w:t>, Cornell University Press, 2012, pp. 31-37</w:t>
      </w:r>
    </w:p>
  </w:footnote>
  <w:footnote w:id="365">
    <w:p w:rsidR="002B4254" w:rsidRPr="00FC63AF" w:rsidRDefault="002B4254">
      <w:pPr>
        <w:pStyle w:val="FootnoteText"/>
      </w:pPr>
      <w:r>
        <w:rPr>
          <w:rStyle w:val="FootnoteReference"/>
        </w:rPr>
        <w:footnoteRef/>
      </w:r>
      <w:r>
        <w:t xml:space="preserve"> Kristian Lassett, </w:t>
      </w:r>
      <w:r>
        <w:rPr>
          <w:i/>
        </w:rPr>
        <w:t>State Crime on the Margins of Empire:</w:t>
      </w:r>
      <w:r w:rsidRPr="00FC63AF">
        <w:rPr>
          <w:sz w:val="22"/>
          <w:szCs w:val="22"/>
        </w:rPr>
        <w:t xml:space="preserve"> </w:t>
      </w:r>
      <w:r w:rsidRPr="00FC63AF">
        <w:rPr>
          <w:i/>
        </w:rPr>
        <w:t>Rio Tinto, the War on Bougainville and Resistance to Mining</w:t>
      </w:r>
      <w:r>
        <w:t>, Pluto Press, 2014, pp. 141-142</w:t>
      </w:r>
    </w:p>
  </w:footnote>
  <w:footnote w:id="366">
    <w:p w:rsidR="002B4254" w:rsidRDefault="002B4254">
      <w:pPr>
        <w:pStyle w:val="FootnoteText"/>
      </w:pPr>
      <w:r>
        <w:rPr>
          <w:rStyle w:val="FootnoteReference"/>
        </w:rPr>
        <w:footnoteRef/>
      </w:r>
      <w:r>
        <w:t xml:space="preserve"> John </w:t>
      </w:r>
      <w:r w:rsidRPr="00A36DA4">
        <w:t>Braithwaite, Hilary Charlesworth, Peter Reddy and Leah Dunn</w:t>
      </w:r>
      <w:r>
        <w:t xml:space="preserve">, </w:t>
      </w:r>
      <w:r w:rsidRPr="00A36DA4">
        <w:rPr>
          <w:i/>
        </w:rPr>
        <w:t>Reconciliation and Architectures of Commitment: Sequencing Peace in Bougainville</w:t>
      </w:r>
      <w:r>
        <w:t>, ANU Press, 2010, pp. 29-31</w:t>
      </w:r>
    </w:p>
  </w:footnote>
  <w:footnote w:id="367">
    <w:p w:rsidR="002B4254" w:rsidRDefault="002B4254">
      <w:pPr>
        <w:pStyle w:val="FootnoteText"/>
      </w:pPr>
      <w:r>
        <w:rPr>
          <w:rStyle w:val="FootnoteReference"/>
        </w:rPr>
        <w:footnoteRef/>
      </w:r>
      <w:r>
        <w:t xml:space="preserve"> Some titles these groups fought under include Bougainville Resistance Group (and later, Force) and Buka Liberation Front.</w:t>
      </w:r>
    </w:p>
  </w:footnote>
  <w:footnote w:id="368">
    <w:p w:rsidR="002B4254" w:rsidRPr="00C36801" w:rsidRDefault="002B4254">
      <w:pPr>
        <w:pStyle w:val="FootnoteText"/>
      </w:pPr>
      <w:r>
        <w:rPr>
          <w:rStyle w:val="FootnoteReference"/>
        </w:rPr>
        <w:footnoteRef/>
      </w:r>
      <w:r>
        <w:t xml:space="preserve"> Lassett, </w:t>
      </w:r>
      <w:r>
        <w:rPr>
          <w:i/>
        </w:rPr>
        <w:t>State Crime</w:t>
      </w:r>
      <w:r>
        <w:t>, pp. pp. 165-166</w:t>
      </w:r>
    </w:p>
  </w:footnote>
  <w:footnote w:id="369">
    <w:p w:rsidR="002B4254" w:rsidRDefault="002B4254">
      <w:pPr>
        <w:pStyle w:val="FootnoteText"/>
      </w:pPr>
      <w:r>
        <w:rPr>
          <w:rStyle w:val="FootnoteReference"/>
        </w:rPr>
        <w:footnoteRef/>
      </w:r>
      <w:r>
        <w:t xml:space="preserve"> Ibid., pp. 146-147</w:t>
      </w:r>
    </w:p>
  </w:footnote>
  <w:footnote w:id="370">
    <w:p w:rsidR="002B4254" w:rsidRDefault="002B4254">
      <w:pPr>
        <w:pStyle w:val="FootnoteText"/>
      </w:pPr>
      <w:r>
        <w:rPr>
          <w:rStyle w:val="FootnoteReference"/>
        </w:rPr>
        <w:footnoteRef/>
      </w:r>
      <w:r>
        <w:t xml:space="preserve"> Anna-Karina Hermkens, Anna-Karina, “</w:t>
      </w:r>
      <w:r w:rsidRPr="00E1073E">
        <w:t>The Power of Mary in Secessionist Warfare: Catholicism and Political Crisis in Bougainville, Papua New Guinea</w:t>
      </w:r>
      <w:r>
        <w:t xml:space="preserve">,” </w:t>
      </w:r>
      <w:r w:rsidRPr="00E1073E">
        <w:rPr>
          <w:i/>
        </w:rPr>
        <w:t>Powers: Religion as a Social and Spiritual Force</w:t>
      </w:r>
      <w:r>
        <w:t>, eds. Meerten B. Ter Borg, Jan Willem Van Henten, Fordham University Press, 2010, pp. 116-117</w:t>
      </w:r>
    </w:p>
  </w:footnote>
  <w:footnote w:id="371">
    <w:p w:rsidR="002B4254" w:rsidRPr="002E3BB2" w:rsidRDefault="002B4254">
      <w:pPr>
        <w:pStyle w:val="FootnoteText"/>
      </w:pPr>
      <w:r>
        <w:rPr>
          <w:rStyle w:val="FootnoteReference"/>
        </w:rPr>
        <w:footnoteRef/>
      </w:r>
      <w:r>
        <w:t xml:space="preserve"> Lassett, </w:t>
      </w:r>
      <w:r>
        <w:rPr>
          <w:i/>
        </w:rPr>
        <w:t>State Crime</w:t>
      </w:r>
      <w:r>
        <w:t>, p. 165</w:t>
      </w:r>
    </w:p>
  </w:footnote>
  <w:footnote w:id="372">
    <w:p w:rsidR="002B4254" w:rsidRDefault="002B4254">
      <w:pPr>
        <w:pStyle w:val="FootnoteText"/>
      </w:pPr>
      <w:r>
        <w:rPr>
          <w:rStyle w:val="FootnoteReference"/>
        </w:rPr>
        <w:footnoteRef/>
      </w:r>
      <w:r>
        <w:t xml:space="preserve"> Peter Ninnes, “Bougainville From Crisis to Peace,” </w:t>
      </w:r>
      <w:r>
        <w:rPr>
          <w:i/>
        </w:rPr>
        <w:t>NGOs and Post-Conflict Recovery: The Leitana Nehan Women’s Development Agency, Bougainville</w:t>
      </w:r>
      <w:r>
        <w:t>, eds. Helen Hakena, Peter Ninnes, and Bert Jenkins, ANU Press, 2006, pp. 6-8</w:t>
      </w:r>
    </w:p>
  </w:footnote>
  <w:footnote w:id="373">
    <w:p w:rsidR="002B4254" w:rsidRPr="00005872" w:rsidRDefault="002B4254">
      <w:pPr>
        <w:pStyle w:val="FootnoteText"/>
      </w:pPr>
      <w:r>
        <w:rPr>
          <w:rStyle w:val="FootnoteReference"/>
        </w:rPr>
        <w:footnoteRef/>
      </w:r>
      <w:r>
        <w:t xml:space="preserve"> Weinstein, </w:t>
      </w:r>
      <w:r>
        <w:rPr>
          <w:i/>
        </w:rPr>
        <w:t>Inside Rebellion</w:t>
      </w:r>
      <w:r>
        <w:t>, pp. 186-187</w:t>
      </w:r>
    </w:p>
  </w:footnote>
  <w:footnote w:id="374">
    <w:p w:rsidR="002B4254" w:rsidRDefault="002B4254">
      <w:pPr>
        <w:pStyle w:val="FootnoteText"/>
      </w:pPr>
      <w:r>
        <w:rPr>
          <w:rStyle w:val="FootnoteReference"/>
        </w:rPr>
        <w:footnoteRef/>
      </w:r>
      <w:r>
        <w:t xml:space="preserve"> Mampilly, “Stationary Bandits,” pp. 104-105</w:t>
      </w:r>
    </w:p>
  </w:footnote>
  <w:footnote w:id="375">
    <w:p w:rsidR="002B4254" w:rsidRPr="00005872" w:rsidRDefault="002B4254">
      <w:pPr>
        <w:pStyle w:val="FootnoteText"/>
      </w:pPr>
      <w:r>
        <w:rPr>
          <w:rStyle w:val="FootnoteReference"/>
        </w:rPr>
        <w:footnoteRef/>
      </w:r>
      <w:r>
        <w:t xml:space="preserve"> Weinstein, </w:t>
      </w:r>
      <w:r>
        <w:rPr>
          <w:i/>
        </w:rPr>
        <w:t>Inside Rebellion</w:t>
      </w:r>
      <w:r>
        <w:t>, 189-192, 275-277.</w:t>
      </w:r>
    </w:p>
  </w:footnote>
  <w:footnote w:id="376">
    <w:p w:rsidR="002B4254" w:rsidRDefault="002B4254">
      <w:pPr>
        <w:pStyle w:val="FootnoteText"/>
      </w:pPr>
      <w:r>
        <w:rPr>
          <w:rStyle w:val="FootnoteReference"/>
        </w:rPr>
        <w:footnoteRef/>
      </w:r>
      <w:r>
        <w:t xml:space="preserve"> Ibid. 188-189.</w:t>
      </w:r>
    </w:p>
  </w:footnote>
  <w:footnote w:id="377">
    <w:p w:rsidR="002B4254" w:rsidRPr="00A016F4" w:rsidRDefault="002B4254">
      <w:pPr>
        <w:pStyle w:val="FootnoteText"/>
      </w:pPr>
      <w:r>
        <w:rPr>
          <w:rStyle w:val="FootnoteReference"/>
        </w:rPr>
        <w:footnoteRef/>
      </w:r>
      <w:r>
        <w:t xml:space="preserve"> Simon Strong, </w:t>
      </w:r>
      <w:r>
        <w:rPr>
          <w:i/>
        </w:rPr>
        <w:t>Shining Path: Terror and Revolution in Peru</w:t>
      </w:r>
      <w:r>
        <w:t>, (New York: Times Books, 1992), 87-88.</w:t>
      </w:r>
    </w:p>
  </w:footnote>
  <w:footnote w:id="378">
    <w:p w:rsidR="002B4254" w:rsidRDefault="002B4254">
      <w:pPr>
        <w:pStyle w:val="FootnoteText"/>
      </w:pPr>
      <w:r>
        <w:rPr>
          <w:rStyle w:val="FootnoteReference"/>
        </w:rPr>
        <w:footnoteRef/>
      </w:r>
      <w:r>
        <w:t xml:space="preserve"> Ibid. 87.</w:t>
      </w:r>
    </w:p>
  </w:footnote>
  <w:footnote w:id="379">
    <w:p w:rsidR="002B4254" w:rsidRDefault="002B4254" w:rsidP="00A016F4">
      <w:pPr>
        <w:pStyle w:val="FootnoteText"/>
      </w:pPr>
      <w:r>
        <w:rPr>
          <w:rStyle w:val="FootnoteReference"/>
        </w:rPr>
        <w:footnoteRef/>
      </w:r>
      <w:r>
        <w:t xml:space="preserve"> McClintock, Cynthia, </w:t>
      </w:r>
      <w:r w:rsidRPr="00A016F4">
        <w:rPr>
          <w:i/>
        </w:rPr>
        <w:t>Revolutionary Movements in Latin America</w:t>
      </w:r>
      <w:r>
        <w:t xml:space="preserve"> (Washington, DC: United</w:t>
      </w:r>
    </w:p>
    <w:p w:rsidR="002B4254" w:rsidRDefault="002B4254" w:rsidP="00A016F4">
      <w:pPr>
        <w:pStyle w:val="FootnoteText"/>
      </w:pPr>
      <w:r>
        <w:t>State Institute of Peace, 1998), 292.</w:t>
      </w:r>
    </w:p>
  </w:footnote>
  <w:footnote w:id="380">
    <w:p w:rsidR="002B4254" w:rsidRDefault="002B4254" w:rsidP="008879DF">
      <w:pPr>
        <w:pStyle w:val="FootnoteText"/>
      </w:pPr>
      <w:r>
        <w:rPr>
          <w:rStyle w:val="FootnoteReference"/>
        </w:rPr>
        <w:footnoteRef/>
      </w:r>
      <w:r>
        <w:t xml:space="preserve"> Michael Reid, </w:t>
      </w:r>
      <w:r>
        <w:rPr>
          <w:i/>
        </w:rPr>
        <w:t>Forgotten Continent: The Battle for Latin America’s Soul</w:t>
      </w:r>
      <w:r>
        <w:t>, Yale University Press, 2007, pp. 215-216</w:t>
      </w:r>
    </w:p>
  </w:footnote>
  <w:footnote w:id="381">
    <w:p w:rsidR="002B4254" w:rsidRDefault="002B4254" w:rsidP="00B11BCA">
      <w:pPr>
        <w:pStyle w:val="FootnoteText"/>
      </w:pPr>
      <w:r>
        <w:rPr>
          <w:rStyle w:val="FootnoteReference"/>
        </w:rPr>
        <w:footnoteRef/>
      </w:r>
      <w:r>
        <w:t xml:space="preserve"> Ibid. pp. 89-90</w:t>
      </w:r>
    </w:p>
  </w:footnote>
  <w:footnote w:id="382">
    <w:p w:rsidR="002B4254" w:rsidRDefault="002B4254">
      <w:pPr>
        <w:pStyle w:val="FootnoteText"/>
      </w:pPr>
      <w:r>
        <w:rPr>
          <w:rStyle w:val="FootnoteReference"/>
        </w:rPr>
        <w:footnoteRef/>
      </w:r>
      <w:r>
        <w:t xml:space="preserve"> Mampilly, “Stationary Bandits,” pp. 104-105</w:t>
      </w:r>
    </w:p>
  </w:footnote>
  <w:footnote w:id="383">
    <w:p w:rsidR="002B4254" w:rsidRDefault="002B4254">
      <w:pPr>
        <w:pStyle w:val="FootnoteText"/>
      </w:pPr>
      <w:r>
        <w:rPr>
          <w:rStyle w:val="FootnoteReference"/>
        </w:rPr>
        <w:footnoteRef/>
      </w:r>
      <w:r>
        <w:t xml:space="preserve"> Strong, </w:t>
      </w:r>
      <w:r>
        <w:rPr>
          <w:i/>
        </w:rPr>
        <w:t xml:space="preserve">Shining </w:t>
      </w:r>
      <w:r w:rsidRPr="00A016F4">
        <w:rPr>
          <w:i/>
        </w:rPr>
        <w:t>Path</w:t>
      </w:r>
      <w:r>
        <w:rPr>
          <w:i/>
        </w:rPr>
        <w:t>: Terror</w:t>
      </w:r>
      <w:r>
        <w:t xml:space="preserve">, </w:t>
      </w:r>
      <w:r w:rsidRPr="00A016F4">
        <w:t>87</w:t>
      </w:r>
      <w:r>
        <w:t>.</w:t>
      </w:r>
    </w:p>
  </w:footnote>
  <w:footnote w:id="384">
    <w:p w:rsidR="002B4254" w:rsidRPr="005605B7" w:rsidRDefault="002B4254">
      <w:pPr>
        <w:pStyle w:val="FootnoteText"/>
      </w:pPr>
      <w:r>
        <w:rPr>
          <w:rStyle w:val="FootnoteReference"/>
        </w:rPr>
        <w:footnoteRef/>
      </w:r>
      <w:r>
        <w:t xml:space="preserve"> Simon Strong, </w:t>
      </w:r>
      <w:r>
        <w:rPr>
          <w:i/>
        </w:rPr>
        <w:t>Shining Path: The World’s Deadliest Revolutionary Force</w:t>
      </w:r>
      <w:r>
        <w:t xml:space="preserve"> (London: HarperCollins Publishers, 1992), 120-123</w:t>
      </w:r>
    </w:p>
  </w:footnote>
  <w:footnote w:id="385">
    <w:p w:rsidR="002B4254" w:rsidRPr="00A016F4" w:rsidRDefault="002B4254">
      <w:pPr>
        <w:pStyle w:val="FootnoteText"/>
      </w:pPr>
      <w:r>
        <w:rPr>
          <w:rStyle w:val="FootnoteReference"/>
        </w:rPr>
        <w:footnoteRef/>
      </w:r>
      <w:r>
        <w:t xml:space="preserve"> McClintock, </w:t>
      </w:r>
      <w:r>
        <w:rPr>
          <w:i/>
        </w:rPr>
        <w:t>Revolutionary Movements</w:t>
      </w:r>
      <w:r>
        <w:t>, 72.</w:t>
      </w:r>
    </w:p>
  </w:footnote>
  <w:footnote w:id="386">
    <w:p w:rsidR="002B4254" w:rsidRPr="00A016F4" w:rsidRDefault="002B4254">
      <w:pPr>
        <w:pStyle w:val="FootnoteText"/>
      </w:pPr>
      <w:r>
        <w:rPr>
          <w:rStyle w:val="FootnoteReference"/>
        </w:rPr>
        <w:footnoteRef/>
      </w:r>
      <w:r>
        <w:t xml:space="preserve"> Strong, </w:t>
      </w:r>
      <w:r>
        <w:rPr>
          <w:i/>
        </w:rPr>
        <w:t>Shining Path: Terror</w:t>
      </w:r>
      <w:r>
        <w:t>, 87.</w:t>
      </w:r>
    </w:p>
  </w:footnote>
  <w:footnote w:id="387">
    <w:p w:rsidR="002B4254" w:rsidRDefault="002B4254">
      <w:pPr>
        <w:pStyle w:val="FootnoteText"/>
      </w:pPr>
      <w:r>
        <w:rPr>
          <w:rStyle w:val="FootnoteReference"/>
        </w:rPr>
        <w:footnoteRef/>
      </w:r>
      <w:r>
        <w:t xml:space="preserve"> Simon Strong, </w:t>
      </w:r>
      <w:r>
        <w:rPr>
          <w:i/>
        </w:rPr>
        <w:t>Shining Path: World’s Deadliest</w:t>
      </w:r>
      <w:r>
        <w:t>, 121.</w:t>
      </w:r>
    </w:p>
  </w:footnote>
  <w:footnote w:id="388">
    <w:p w:rsidR="002B4254" w:rsidRPr="002E3A01" w:rsidRDefault="002B4254">
      <w:pPr>
        <w:pStyle w:val="FootnoteText"/>
      </w:pPr>
      <w:r>
        <w:rPr>
          <w:rStyle w:val="FootnoteReference"/>
        </w:rPr>
        <w:footnoteRef/>
      </w:r>
      <w:r>
        <w:t xml:space="preserve"> Strong, </w:t>
      </w:r>
      <w:r>
        <w:rPr>
          <w:i/>
        </w:rPr>
        <w:t>Shining Path: Terror</w:t>
      </w:r>
      <w:r>
        <w:t>, 88.</w:t>
      </w:r>
    </w:p>
  </w:footnote>
  <w:footnote w:id="389">
    <w:p w:rsidR="002B4254" w:rsidRDefault="002B4254">
      <w:pPr>
        <w:pStyle w:val="FootnoteText"/>
      </w:pPr>
      <w:r>
        <w:rPr>
          <w:rStyle w:val="FootnoteReference"/>
        </w:rPr>
        <w:footnoteRef/>
      </w:r>
      <w:r>
        <w:t xml:space="preserve"> Ibid. 84, 88-90.</w:t>
      </w:r>
    </w:p>
  </w:footnote>
  <w:footnote w:id="390">
    <w:p w:rsidR="002B4254" w:rsidRDefault="002B4254">
      <w:pPr>
        <w:pStyle w:val="FootnoteText"/>
      </w:pPr>
      <w:r>
        <w:rPr>
          <w:rStyle w:val="FootnoteReference"/>
        </w:rPr>
        <w:footnoteRef/>
      </w:r>
      <w:r>
        <w:t xml:space="preserve"> Lela Garner Noble, “</w:t>
      </w:r>
      <w:r w:rsidRPr="00323B03">
        <w:t>The Moro National Liberation Front in the Philippines</w:t>
      </w:r>
      <w:r>
        <w:t xml:space="preserve">,” </w:t>
      </w:r>
      <w:r>
        <w:rPr>
          <w:i/>
        </w:rPr>
        <w:t>Pacific Affairs</w:t>
      </w:r>
      <w:r>
        <w:t>, Vol. 49, No. 3 (Autumn, 1976), pp. 405-412</w:t>
      </w:r>
    </w:p>
  </w:footnote>
  <w:footnote w:id="391">
    <w:p w:rsidR="002B4254" w:rsidRDefault="002B4254">
      <w:pPr>
        <w:pStyle w:val="FootnoteText"/>
      </w:pPr>
      <w:r>
        <w:rPr>
          <w:rStyle w:val="FootnoteReference"/>
        </w:rPr>
        <w:footnoteRef/>
      </w:r>
      <w:r>
        <w:t xml:space="preserve"> Mampilly, “Stationary Bandits,” pp. 105-106</w:t>
      </w:r>
    </w:p>
  </w:footnote>
  <w:footnote w:id="392">
    <w:p w:rsidR="002B4254" w:rsidRDefault="002B4254">
      <w:pPr>
        <w:pStyle w:val="FootnoteText"/>
      </w:pPr>
      <w:r>
        <w:rPr>
          <w:rStyle w:val="FootnoteReference"/>
        </w:rPr>
        <w:footnoteRef/>
      </w:r>
      <w:r>
        <w:t xml:space="preserve"> Rosalie Arcala Hall, “From Rebels to Soldiers: An Analysis of the Philippine Policy of Integrating Former Moro National Liberation Front Combatants into the Armed Forces,” </w:t>
      </w:r>
      <w:r>
        <w:rPr>
          <w:i/>
        </w:rPr>
        <w:t>New Armies from Old: Merging Competing Military Forces after Civil Wars</w:t>
      </w:r>
      <w:r>
        <w:t>, ed. Roy Licklider, Georgetown University Press, 2014, pp. 103-104, 115-117</w:t>
      </w:r>
    </w:p>
  </w:footnote>
  <w:footnote w:id="393">
    <w:p w:rsidR="002B4254" w:rsidRDefault="002B4254">
      <w:pPr>
        <w:pStyle w:val="FootnoteText"/>
      </w:pPr>
      <w:r>
        <w:rPr>
          <w:rStyle w:val="FootnoteReference"/>
        </w:rPr>
        <w:footnoteRef/>
      </w:r>
      <w:r>
        <w:t xml:space="preserve"> Thomas M. McKenna, </w:t>
      </w:r>
      <w:r>
        <w:rPr>
          <w:i/>
        </w:rPr>
        <w:t>Muslim Rulers and Rebels: Everyday Politics and Armed Separatism in the Southern Philippines</w:t>
      </w:r>
      <w:r>
        <w:t>, University of California Press, 1998, pp. 226-231</w:t>
      </w:r>
    </w:p>
  </w:footnote>
  <w:footnote w:id="394">
    <w:p w:rsidR="002B4254" w:rsidRDefault="002B4254">
      <w:pPr>
        <w:pStyle w:val="FootnoteText"/>
      </w:pPr>
      <w:r>
        <w:rPr>
          <w:rStyle w:val="FootnoteReference"/>
        </w:rPr>
        <w:footnoteRef/>
      </w:r>
      <w:r>
        <w:t xml:space="preserve"> Ioan Marginean, Indicators of Democratization in Romania,” </w:t>
      </w:r>
      <w:r>
        <w:rPr>
          <w:i/>
        </w:rPr>
        <w:t>Social Indicators Research</w:t>
      </w:r>
      <w:r>
        <w:t>, Vol. 42, No. 3 (Nov. 1997), pp. 358-361</w:t>
      </w:r>
    </w:p>
  </w:footnote>
  <w:footnote w:id="395">
    <w:p w:rsidR="002B4254" w:rsidRDefault="002B4254" w:rsidP="006B6542">
      <w:pPr>
        <w:pStyle w:val="FootnoteText"/>
      </w:pPr>
      <w:r>
        <w:rPr>
          <w:rStyle w:val="FootnoteReference"/>
        </w:rPr>
        <w:footnoteRef/>
      </w:r>
      <w:r>
        <w:t xml:space="preserve"> Pavel Campeanu, Stefana Steriade, and Ronald Radzai, “The Revolution: The Beginning of the Transition,” </w:t>
      </w:r>
      <w:r>
        <w:rPr>
          <w:i/>
        </w:rPr>
        <w:t>Social Research</w:t>
      </w:r>
      <w:r>
        <w:t>, Vol. 60, No. 4 (Winter, 1993), pp. 915-932</w:t>
      </w:r>
    </w:p>
  </w:footnote>
  <w:footnote w:id="396">
    <w:p w:rsidR="002B4254" w:rsidRPr="00243466" w:rsidRDefault="002B4254">
      <w:pPr>
        <w:pStyle w:val="FootnoteText"/>
      </w:pPr>
      <w:r>
        <w:rPr>
          <w:rStyle w:val="FootnoteReference"/>
        </w:rPr>
        <w:footnoteRef/>
      </w:r>
      <w:r>
        <w:t xml:space="preserve"> Tony Wood, </w:t>
      </w:r>
      <w:r>
        <w:rPr>
          <w:i/>
        </w:rPr>
        <w:t>Chechnya: The Case for Independence</w:t>
      </w:r>
      <w:r>
        <w:t>, Verso, 2007, pp. 186-187</w:t>
      </w:r>
    </w:p>
  </w:footnote>
  <w:footnote w:id="397">
    <w:p w:rsidR="002B4254" w:rsidRDefault="002B4254">
      <w:pPr>
        <w:pStyle w:val="FootnoteText"/>
      </w:pPr>
      <w:r>
        <w:rPr>
          <w:rStyle w:val="FootnoteReference"/>
        </w:rPr>
        <w:footnoteRef/>
      </w:r>
      <w:r>
        <w:t xml:space="preserve"> It can be argued that elections held proximally to the beginning of a conflict could be counted as such.</w:t>
      </w:r>
    </w:p>
  </w:footnote>
  <w:footnote w:id="398">
    <w:p w:rsidR="002B4254" w:rsidRPr="00056359" w:rsidRDefault="002B4254">
      <w:pPr>
        <w:pStyle w:val="FootnoteText"/>
      </w:pPr>
      <w:r>
        <w:rPr>
          <w:rStyle w:val="FootnoteReference"/>
        </w:rPr>
        <w:footnoteRef/>
      </w:r>
      <w:r>
        <w:t xml:space="preserve"> Sebastian Smith, </w:t>
      </w:r>
      <w:r>
        <w:rPr>
          <w:i/>
        </w:rPr>
        <w:t>Allah’s Mountains: The Battle for Chechnya</w:t>
      </w:r>
      <w:r>
        <w:t>, I.B. Tauris, 2001, pp. 124-125</w:t>
      </w:r>
    </w:p>
  </w:footnote>
  <w:footnote w:id="399">
    <w:p w:rsidR="002B4254" w:rsidRDefault="002B4254">
      <w:pPr>
        <w:pStyle w:val="FootnoteText"/>
      </w:pPr>
      <w:r>
        <w:rPr>
          <w:rStyle w:val="FootnoteReference"/>
        </w:rPr>
        <w:footnoteRef/>
      </w:r>
      <w:r>
        <w:t xml:space="preserve"> Ibid. pp. 150-151</w:t>
      </w:r>
    </w:p>
  </w:footnote>
  <w:footnote w:id="400">
    <w:p w:rsidR="002B4254" w:rsidRPr="004F05BF" w:rsidRDefault="002B4254">
      <w:pPr>
        <w:pStyle w:val="FootnoteText"/>
      </w:pPr>
      <w:r>
        <w:rPr>
          <w:rStyle w:val="FootnoteReference"/>
        </w:rPr>
        <w:footnoteRef/>
      </w:r>
      <w:r>
        <w:t xml:space="preserve"> Wood, </w:t>
      </w:r>
      <w:r>
        <w:rPr>
          <w:i/>
        </w:rPr>
        <w:t>Chechnya</w:t>
      </w:r>
      <w:r>
        <w:t>, p. 84</w:t>
      </w:r>
    </w:p>
  </w:footnote>
  <w:footnote w:id="401">
    <w:p w:rsidR="002B4254" w:rsidRDefault="002B4254">
      <w:pPr>
        <w:pStyle w:val="FootnoteText"/>
      </w:pPr>
      <w:r>
        <w:rPr>
          <w:rStyle w:val="FootnoteReference"/>
        </w:rPr>
        <w:footnoteRef/>
      </w:r>
      <w:r>
        <w:t xml:space="preserve"> Idean Salehyan, </w:t>
      </w:r>
      <w:r>
        <w:rPr>
          <w:i/>
        </w:rPr>
        <w:t>Rebels Without Borders: Transnational Insurgencies in World Politics</w:t>
      </w:r>
      <w:r>
        <w:t>, Cornell University Press, 2009, pp. 146-149; one source of resentment between Tutsi and Hutu communities was the racial hierarchy applied by their Belgian former colonial masters—Tutsi were deemed superior to Hutu, according to Belgium’s pseudoscientific ordering.</w:t>
      </w:r>
    </w:p>
  </w:footnote>
  <w:footnote w:id="402">
    <w:p w:rsidR="002B4254" w:rsidRPr="00C73E09" w:rsidRDefault="002B4254">
      <w:pPr>
        <w:pStyle w:val="FootnoteText"/>
      </w:pPr>
      <w:r>
        <w:rPr>
          <w:rStyle w:val="FootnoteReference"/>
        </w:rPr>
        <w:footnoteRef/>
      </w:r>
      <w:r>
        <w:t xml:space="preserve"> Wm. Cyrus Reed, “The Rwandan Patriotic Front: Politics and Development in Rwanda,” </w:t>
      </w:r>
      <w:r>
        <w:rPr>
          <w:i/>
        </w:rPr>
        <w:t>A Journal of Opinion</w:t>
      </w:r>
      <w:r>
        <w:t>, Vol. 23, No. 2 (1995), pp. 48-53</w:t>
      </w:r>
    </w:p>
  </w:footnote>
  <w:footnote w:id="403">
    <w:p w:rsidR="002B4254" w:rsidRDefault="002B4254">
      <w:pPr>
        <w:pStyle w:val="FootnoteText"/>
      </w:pPr>
      <w:r>
        <w:rPr>
          <w:rStyle w:val="FootnoteReference"/>
        </w:rPr>
        <w:footnoteRef/>
      </w:r>
      <w:r>
        <w:t xml:space="preserve"> Wm. Cyrus Reed, “Exile, Reform, and the Rise of the Rwandan Patriotic Front,” </w:t>
      </w:r>
      <w:r>
        <w:rPr>
          <w:i/>
        </w:rPr>
        <w:t>A Journal of Modern African Studies</w:t>
      </w:r>
      <w:r>
        <w:t>, Vol. 34, No. 3 (Sept. 1996), pp. 490-494</w:t>
      </w:r>
    </w:p>
  </w:footnote>
  <w:footnote w:id="404">
    <w:p w:rsidR="002B4254" w:rsidRPr="00C17860" w:rsidRDefault="002B4254">
      <w:pPr>
        <w:pStyle w:val="FootnoteText"/>
      </w:pPr>
      <w:r>
        <w:rPr>
          <w:rStyle w:val="FootnoteReference"/>
        </w:rPr>
        <w:footnoteRef/>
      </w:r>
      <w:r>
        <w:t xml:space="preserve"> Salehyan, </w:t>
      </w:r>
      <w:r>
        <w:rPr>
          <w:i/>
        </w:rPr>
        <w:t>Rebels Without Borders</w:t>
      </w:r>
      <w:r>
        <w:t>, pp. 147-149</w:t>
      </w:r>
    </w:p>
  </w:footnote>
  <w:footnote w:id="405">
    <w:p w:rsidR="002B4254" w:rsidRDefault="002B4254">
      <w:pPr>
        <w:pStyle w:val="FootnoteText"/>
      </w:pPr>
      <w:r>
        <w:rPr>
          <w:rStyle w:val="FootnoteReference"/>
        </w:rPr>
        <w:footnoteRef/>
      </w:r>
      <w:r>
        <w:t xml:space="preserve"> John Pearn, “History, Horror, and Healing: The Historical Background and Aftermath to the Rwandan Civil War of 1994,” </w:t>
      </w:r>
      <w:r>
        <w:rPr>
          <w:i/>
        </w:rPr>
        <w:t>Health and History</w:t>
      </w:r>
      <w:r>
        <w:t>, Vol. 1, No. 2/3 (1999), pp. 205-207</w:t>
      </w:r>
    </w:p>
  </w:footnote>
  <w:footnote w:id="406">
    <w:p w:rsidR="002B4254" w:rsidRDefault="002B4254">
      <w:pPr>
        <w:pStyle w:val="FootnoteText"/>
      </w:pPr>
      <w:r>
        <w:rPr>
          <w:rStyle w:val="FootnoteReference"/>
        </w:rPr>
        <w:footnoteRef/>
      </w:r>
      <w:r>
        <w:t xml:space="preserve"> John L. Hirsch, </w:t>
      </w:r>
      <w:r>
        <w:rPr>
          <w:i/>
        </w:rPr>
        <w:t>Sierra Leone: Diamonds and the Struggle for Democracy</w:t>
      </w:r>
      <w:r>
        <w:t>, Lynne Reiner, 2001, pp. 31-35</w:t>
      </w:r>
    </w:p>
  </w:footnote>
  <w:footnote w:id="407">
    <w:p w:rsidR="002B4254" w:rsidRDefault="002B4254">
      <w:pPr>
        <w:pStyle w:val="FootnoteText"/>
      </w:pPr>
      <w:r>
        <w:rPr>
          <w:rStyle w:val="FootnoteReference"/>
        </w:rPr>
        <w:footnoteRef/>
      </w:r>
      <w:r>
        <w:t xml:space="preserve"> Hazen, </w:t>
      </w:r>
      <w:r>
        <w:rPr>
          <w:i/>
        </w:rPr>
        <w:t>What Rebels Want</w:t>
      </w:r>
      <w:r>
        <w:t>, pp. 75-78</w:t>
      </w:r>
    </w:p>
  </w:footnote>
  <w:footnote w:id="408">
    <w:p w:rsidR="002B4254" w:rsidRDefault="002B4254">
      <w:pPr>
        <w:pStyle w:val="FootnoteText"/>
      </w:pPr>
      <w:r>
        <w:rPr>
          <w:rStyle w:val="FootnoteReference"/>
        </w:rPr>
        <w:footnoteRef/>
      </w:r>
      <w:r>
        <w:t xml:space="preserve"> Krijn Peters, </w:t>
      </w:r>
      <w:r>
        <w:rPr>
          <w:i/>
        </w:rPr>
        <w:t>War and the Crisis of Youth in Sierra Leone</w:t>
      </w:r>
      <w:r>
        <w:t>, Cambridge University Press, 2011, pp. 106-111</w:t>
      </w:r>
    </w:p>
  </w:footnote>
  <w:footnote w:id="409">
    <w:p w:rsidR="002B4254" w:rsidRDefault="002B4254">
      <w:pPr>
        <w:pStyle w:val="FootnoteText"/>
      </w:pPr>
      <w:r>
        <w:rPr>
          <w:rStyle w:val="FootnoteReference"/>
        </w:rPr>
        <w:footnoteRef/>
      </w:r>
      <w:r>
        <w:t xml:space="preserve"> Hazen, </w:t>
      </w:r>
      <w:r>
        <w:rPr>
          <w:i/>
        </w:rPr>
        <w:t>What Rebels Want</w:t>
      </w:r>
      <w:r>
        <w:t>, pp. 82-84; Peters points to interviews that state that they did, but Hazen is deeply skeptical that RUF forces engaged in resource collection beyond looting and forcing civilians to farm or mine.</w:t>
      </w:r>
    </w:p>
  </w:footnote>
  <w:footnote w:id="410">
    <w:p w:rsidR="002B4254" w:rsidRPr="00F145AB" w:rsidRDefault="002B4254">
      <w:pPr>
        <w:pStyle w:val="FootnoteText"/>
      </w:pPr>
      <w:r>
        <w:rPr>
          <w:rStyle w:val="FootnoteReference"/>
        </w:rPr>
        <w:footnoteRef/>
      </w:r>
      <w:r>
        <w:t xml:space="preserve"> Peters, </w:t>
      </w:r>
      <w:r>
        <w:rPr>
          <w:i/>
        </w:rPr>
        <w:t>War and the Crisis of Youth</w:t>
      </w:r>
      <w:r>
        <w:t>, pp. 119-124</w:t>
      </w:r>
    </w:p>
  </w:footnote>
  <w:footnote w:id="411">
    <w:p w:rsidR="002B4254" w:rsidRDefault="002B4254">
      <w:pPr>
        <w:pStyle w:val="FootnoteText"/>
      </w:pPr>
      <w:r>
        <w:rPr>
          <w:rStyle w:val="FootnoteReference"/>
        </w:rPr>
        <w:footnoteRef/>
      </w:r>
      <w:r>
        <w:t xml:space="preserve"> Lansana Gberie, </w:t>
      </w:r>
      <w:r>
        <w:rPr>
          <w:i/>
        </w:rPr>
        <w:t>A Dirty War in West Africa: the RUF and the Destruction of Sierra Leone</w:t>
      </w:r>
      <w:r>
        <w:t>, Hurst &amp; Co. 2005, pp. 6, 36; both before and after the conflict Sierra Leonean provision of healthcare and education was quite poor.</w:t>
      </w:r>
    </w:p>
  </w:footnote>
  <w:footnote w:id="412">
    <w:p w:rsidR="002B4254" w:rsidRPr="00DE6E14" w:rsidRDefault="002B4254">
      <w:pPr>
        <w:pStyle w:val="FootnoteText"/>
      </w:pPr>
      <w:r>
        <w:rPr>
          <w:rStyle w:val="FootnoteReference"/>
        </w:rPr>
        <w:footnoteRef/>
      </w:r>
      <w:r>
        <w:t xml:space="preserve"> Peters, </w:t>
      </w:r>
      <w:r>
        <w:rPr>
          <w:i/>
        </w:rPr>
        <w:t>War and the Crisis of Youth</w:t>
      </w:r>
      <w:r>
        <w:t>, pp. 131-137</w:t>
      </w:r>
    </w:p>
  </w:footnote>
  <w:footnote w:id="413">
    <w:p w:rsidR="002B4254" w:rsidRDefault="002B4254">
      <w:pPr>
        <w:pStyle w:val="FootnoteText"/>
      </w:pPr>
      <w:r>
        <w:rPr>
          <w:rStyle w:val="FootnoteReference"/>
        </w:rPr>
        <w:footnoteRef/>
      </w:r>
      <w:r>
        <w:t xml:space="preserve"> Paul Richards and James Vincent, “Sierra Leone: Marginalization of the RUF,” </w:t>
      </w:r>
      <w:r>
        <w:rPr>
          <w:i/>
        </w:rPr>
        <w:t>From Soldiers to Politicians: Transforming Rebel Movements After Civil War</w:t>
      </w:r>
      <w:r>
        <w:t>, ed. Jeroen De Zeeuw, Lynne Rienner, 2008, pp. 88-89</w:t>
      </w:r>
    </w:p>
  </w:footnote>
  <w:footnote w:id="414">
    <w:p w:rsidR="002B4254" w:rsidRDefault="002B4254">
      <w:pPr>
        <w:pStyle w:val="FootnoteText"/>
      </w:pPr>
      <w:r>
        <w:rPr>
          <w:rStyle w:val="FootnoteReference"/>
        </w:rPr>
        <w:footnoteRef/>
      </w:r>
      <w:r>
        <w:t xml:space="preserve"> This rhetoric is undermined by the atrocities committed to interrupt postwar elections (see: Yusuf Bangura, </w:t>
      </w:r>
      <w:r>
        <w:rPr>
          <w:i/>
        </w:rPr>
        <w:t>Development, Democracy, &amp; Cohesion: Critical Essays with Insights on Sierra Leone and wider Africa Contexts</w:t>
      </w:r>
      <w:r>
        <w:t>, Sierra Leonean Writers Series, 2015, pp. 184-188)</w:t>
      </w:r>
    </w:p>
  </w:footnote>
  <w:footnote w:id="415">
    <w:p w:rsidR="002B4254" w:rsidRDefault="002B4254">
      <w:pPr>
        <w:pStyle w:val="FootnoteText"/>
      </w:pPr>
      <w:r>
        <w:rPr>
          <w:rStyle w:val="FootnoteReference"/>
        </w:rPr>
        <w:footnoteRef/>
      </w:r>
      <w:r>
        <w:t xml:space="preserve"> Peters, </w:t>
      </w:r>
      <w:r>
        <w:rPr>
          <w:i/>
        </w:rPr>
        <w:t>War and the Crisis of Youth</w:t>
      </w:r>
      <w:r>
        <w:t>, pp. 135, 138-140</w:t>
      </w:r>
    </w:p>
  </w:footnote>
  <w:footnote w:id="416">
    <w:p w:rsidR="002B4254" w:rsidRPr="00EC19D1" w:rsidRDefault="002B4254">
      <w:pPr>
        <w:pStyle w:val="FootnoteText"/>
      </w:pPr>
      <w:r>
        <w:rPr>
          <w:rStyle w:val="FootnoteReference"/>
        </w:rPr>
        <w:footnoteRef/>
      </w:r>
      <w:r>
        <w:t xml:space="preserve"> Hazen, </w:t>
      </w:r>
      <w:r>
        <w:rPr>
          <w:i/>
        </w:rPr>
        <w:t>What Rebels Want</w:t>
      </w:r>
      <w:r>
        <w:t>, pp. 80-82</w:t>
      </w:r>
    </w:p>
  </w:footnote>
  <w:footnote w:id="417">
    <w:p w:rsidR="002B4254" w:rsidRDefault="002B4254">
      <w:pPr>
        <w:pStyle w:val="FootnoteText"/>
      </w:pPr>
      <w:r>
        <w:rPr>
          <w:rStyle w:val="FootnoteReference"/>
        </w:rPr>
        <w:footnoteRef/>
      </w:r>
      <w:r>
        <w:t xml:space="preserve"> David Harris, </w:t>
      </w:r>
      <w:r>
        <w:rPr>
          <w:i/>
        </w:rPr>
        <w:t xml:space="preserve">Sierra Leone: A Political </w:t>
      </w:r>
      <w:r w:rsidRPr="00880E90">
        <w:t>History</w:t>
      </w:r>
      <w:r>
        <w:t xml:space="preserve">, Oxford University Press, 2014, </w:t>
      </w:r>
      <w:r w:rsidRPr="00880E90">
        <w:t>105</w:t>
      </w:r>
      <w:r>
        <w:t>-111</w:t>
      </w:r>
    </w:p>
  </w:footnote>
  <w:footnote w:id="418">
    <w:p w:rsidR="002B4254" w:rsidRDefault="002B4254">
      <w:pPr>
        <w:pStyle w:val="FootnoteText"/>
      </w:pPr>
      <w:r>
        <w:rPr>
          <w:rStyle w:val="FootnoteReference"/>
        </w:rPr>
        <w:footnoteRef/>
      </w:r>
      <w:r>
        <w:t xml:space="preserve"> Peters, </w:t>
      </w:r>
      <w:r>
        <w:rPr>
          <w:i/>
        </w:rPr>
        <w:t>War and the Crisis of Youth</w:t>
      </w:r>
      <w:r>
        <w:t>, pp. 134-142</w:t>
      </w:r>
    </w:p>
  </w:footnote>
  <w:footnote w:id="419">
    <w:p w:rsidR="002B4254" w:rsidRDefault="002B4254">
      <w:pPr>
        <w:pStyle w:val="FootnoteText"/>
      </w:pPr>
      <w:r>
        <w:rPr>
          <w:rStyle w:val="FootnoteReference"/>
        </w:rPr>
        <w:footnoteRef/>
      </w:r>
      <w:r>
        <w:t xml:space="preserve"> Ibid. pp. 119-124</w:t>
      </w:r>
    </w:p>
  </w:footnote>
  <w:footnote w:id="420">
    <w:p w:rsidR="002B4254" w:rsidRDefault="002B4254">
      <w:pPr>
        <w:pStyle w:val="FootnoteText"/>
      </w:pPr>
      <w:r>
        <w:rPr>
          <w:rStyle w:val="FootnoteReference"/>
        </w:rPr>
        <w:footnoteRef/>
      </w:r>
      <w:r>
        <w:t xml:space="preserve"> Ibid. pp. 168-171</w:t>
      </w:r>
    </w:p>
  </w:footnote>
  <w:footnote w:id="421">
    <w:p w:rsidR="002B4254" w:rsidRDefault="002B4254">
      <w:pPr>
        <w:pStyle w:val="FootnoteText"/>
      </w:pPr>
      <w:r>
        <w:rPr>
          <w:rStyle w:val="FootnoteReference"/>
        </w:rPr>
        <w:footnoteRef/>
      </w:r>
      <w:r>
        <w:t xml:space="preserve"> Bangura, </w:t>
      </w:r>
      <w:r>
        <w:rPr>
          <w:i/>
        </w:rPr>
        <w:t>Development, Democracy, &amp; Cohesion</w:t>
      </w:r>
      <w:r>
        <w:t>, pp. 296-301</w:t>
      </w:r>
    </w:p>
  </w:footnote>
  <w:footnote w:id="422">
    <w:p w:rsidR="002B4254" w:rsidRDefault="002B4254">
      <w:pPr>
        <w:pStyle w:val="FootnoteText"/>
      </w:pPr>
      <w:r>
        <w:rPr>
          <w:rStyle w:val="FootnoteReference"/>
        </w:rPr>
        <w:footnoteRef/>
      </w:r>
      <w:r>
        <w:t xml:space="preserve"> Hirsch, </w:t>
      </w:r>
      <w:r>
        <w:rPr>
          <w:i/>
        </w:rPr>
        <w:t>Sierra Leone</w:t>
      </w:r>
      <w:r>
        <w:t>, pp. 109-110</w:t>
      </w:r>
    </w:p>
  </w:footnote>
  <w:footnote w:id="423">
    <w:p w:rsidR="002B4254" w:rsidRPr="0073597F" w:rsidRDefault="002B4254">
      <w:pPr>
        <w:pStyle w:val="FootnoteText"/>
      </w:pPr>
      <w:r>
        <w:rPr>
          <w:rStyle w:val="FootnoteReference"/>
        </w:rPr>
        <w:footnoteRef/>
      </w:r>
      <w:r>
        <w:t xml:space="preserve"> Hazen, </w:t>
      </w:r>
      <w:r>
        <w:rPr>
          <w:i/>
        </w:rPr>
        <w:t>What Rebels Want</w:t>
      </w:r>
      <w:r>
        <w:t>, pp. 99-104</w:t>
      </w:r>
    </w:p>
  </w:footnote>
  <w:footnote w:id="424">
    <w:p w:rsidR="002B4254" w:rsidRPr="0073597F" w:rsidRDefault="002B4254">
      <w:pPr>
        <w:pStyle w:val="FootnoteText"/>
      </w:pPr>
      <w:r>
        <w:rPr>
          <w:rStyle w:val="FootnoteReference"/>
        </w:rPr>
        <w:footnoteRef/>
      </w:r>
      <w:r>
        <w:t xml:space="preserve"> Gberie, </w:t>
      </w:r>
      <w:r>
        <w:rPr>
          <w:i/>
        </w:rPr>
        <w:t>Dirty War</w:t>
      </w:r>
      <w:r>
        <w:t>, pp. 188-190</w:t>
      </w:r>
    </w:p>
  </w:footnote>
  <w:footnote w:id="425">
    <w:p w:rsidR="002B4254" w:rsidRPr="00B25AB0" w:rsidRDefault="002B4254">
      <w:pPr>
        <w:pStyle w:val="FootnoteText"/>
      </w:pPr>
      <w:r>
        <w:rPr>
          <w:rStyle w:val="FootnoteReference"/>
        </w:rPr>
        <w:footnoteRef/>
      </w:r>
      <w:r>
        <w:t xml:space="preserve"> Peters, </w:t>
      </w:r>
      <w:r>
        <w:rPr>
          <w:i/>
        </w:rPr>
        <w:t>War and the Crisis of Youth</w:t>
      </w:r>
      <w:r>
        <w:t>, pp. 111-119, 141-142</w:t>
      </w:r>
    </w:p>
  </w:footnote>
  <w:footnote w:id="426">
    <w:p w:rsidR="002B4254" w:rsidRDefault="002B4254">
      <w:pPr>
        <w:pStyle w:val="FootnoteText"/>
      </w:pPr>
      <w:r>
        <w:rPr>
          <w:rStyle w:val="FootnoteReference"/>
        </w:rPr>
        <w:footnoteRef/>
      </w:r>
      <w:r>
        <w:t xml:space="preserve"> Ibid. pp. 123-124</w:t>
      </w:r>
    </w:p>
  </w:footnote>
  <w:footnote w:id="427">
    <w:p w:rsidR="002B4254" w:rsidRDefault="002B4254">
      <w:pPr>
        <w:pStyle w:val="FootnoteText"/>
      </w:pPr>
      <w:r>
        <w:rPr>
          <w:rStyle w:val="FootnoteReference"/>
        </w:rPr>
        <w:footnoteRef/>
      </w:r>
      <w:r>
        <w:t xml:space="preserve"> Mark Swilling &amp; Mark Phillips, “State power in the 1980s: from ‘total strategy’ to ‘counter-revolutionary warfare,’” </w:t>
      </w:r>
      <w:r>
        <w:rPr>
          <w:i/>
        </w:rPr>
        <w:t>Society at War: The militarisation of South Africa</w:t>
      </w:r>
      <w:r>
        <w:t>, eds. Jacklyn Cock &amp; Laurie Nathan, St. Martin’s Press, 1989, pp. 134-148</w:t>
      </w:r>
    </w:p>
  </w:footnote>
  <w:footnote w:id="428">
    <w:p w:rsidR="002B4254" w:rsidRDefault="002B4254">
      <w:pPr>
        <w:pStyle w:val="FootnoteText"/>
      </w:pPr>
      <w:r>
        <w:rPr>
          <w:rStyle w:val="FootnoteReference"/>
        </w:rPr>
        <w:footnoteRef/>
      </w:r>
      <w:r>
        <w:t xml:space="preserve"> Mark Phillips, “The nuts and bolts of military power: the structure of the SADF,” </w:t>
      </w:r>
      <w:r>
        <w:rPr>
          <w:i/>
        </w:rPr>
        <w:t>Society at War: The militarisation of South Africa</w:t>
      </w:r>
      <w:r>
        <w:t>, eds. Jacklyn Cock &amp; Laurie Nathan, St. Martin’s Press, 1989, pp. 49-50</w:t>
      </w:r>
    </w:p>
  </w:footnote>
  <w:footnote w:id="429">
    <w:p w:rsidR="002B4254" w:rsidRDefault="002B4254">
      <w:pPr>
        <w:pStyle w:val="FootnoteText"/>
      </w:pPr>
      <w:r>
        <w:rPr>
          <w:rStyle w:val="FootnoteReference"/>
        </w:rPr>
        <w:footnoteRef/>
      </w:r>
      <w:r>
        <w:t xml:space="preserve"> Chris Alden, </w:t>
      </w:r>
      <w:r>
        <w:rPr>
          <w:i/>
        </w:rPr>
        <w:t>Apartheid’s Last Stand: The Rise and Fall of the South African Security State</w:t>
      </w:r>
      <w:r>
        <w:t xml:space="preserve"> (New York: St. Martin’s Press, 1995), 211-212.</w:t>
      </w:r>
    </w:p>
  </w:footnote>
  <w:footnote w:id="430">
    <w:p w:rsidR="002B4254" w:rsidRDefault="002B4254">
      <w:pPr>
        <w:pStyle w:val="FootnoteText"/>
      </w:pPr>
      <w:r>
        <w:rPr>
          <w:rStyle w:val="FootnoteReference"/>
        </w:rPr>
        <w:footnoteRef/>
      </w:r>
      <w:r>
        <w:t xml:space="preserve"> Ibid. 215-216.</w:t>
      </w:r>
    </w:p>
  </w:footnote>
  <w:footnote w:id="431">
    <w:p w:rsidR="002B4254" w:rsidRPr="00327575" w:rsidRDefault="002B4254">
      <w:pPr>
        <w:pStyle w:val="FootnoteText"/>
      </w:pPr>
      <w:r>
        <w:rPr>
          <w:rStyle w:val="FootnoteReference"/>
        </w:rPr>
        <w:footnoteRef/>
      </w:r>
      <w:r>
        <w:t xml:space="preserve"> Robert M. Price, </w:t>
      </w:r>
      <w:r>
        <w:rPr>
          <w:i/>
        </w:rPr>
        <w:t>The Apartheid State in Crisis: Political Transformation in South Africa, 1975-1990</w:t>
      </w:r>
      <w:r>
        <w:t xml:space="preserve"> (New York: Oxford University Press, 1991), 204-206.</w:t>
      </w:r>
    </w:p>
  </w:footnote>
  <w:footnote w:id="432">
    <w:p w:rsidR="002B4254" w:rsidRDefault="002B4254">
      <w:pPr>
        <w:pStyle w:val="FootnoteText"/>
      </w:pPr>
      <w:r>
        <w:rPr>
          <w:rStyle w:val="FootnoteReference"/>
        </w:rPr>
        <w:footnoteRef/>
      </w:r>
      <w:r>
        <w:t xml:space="preserve"> Ibid. 207-209.</w:t>
      </w:r>
    </w:p>
  </w:footnote>
  <w:footnote w:id="433">
    <w:p w:rsidR="002B4254" w:rsidRDefault="002B4254">
      <w:pPr>
        <w:pStyle w:val="FootnoteText"/>
      </w:pPr>
      <w:r>
        <w:rPr>
          <w:rStyle w:val="FootnoteReference"/>
        </w:rPr>
        <w:footnoteRef/>
      </w:r>
      <w:r>
        <w:t xml:space="preserve"> Ibid. 209-211.</w:t>
      </w:r>
    </w:p>
  </w:footnote>
  <w:footnote w:id="434">
    <w:p w:rsidR="002B4254" w:rsidRDefault="002B4254">
      <w:pPr>
        <w:pStyle w:val="FootnoteText"/>
      </w:pPr>
      <w:r>
        <w:rPr>
          <w:rStyle w:val="FootnoteReference"/>
        </w:rPr>
        <w:footnoteRef/>
      </w:r>
      <w:r>
        <w:t xml:space="preserve"> Stephen M. Davis, </w:t>
      </w:r>
      <w:r>
        <w:rPr>
          <w:i/>
        </w:rPr>
        <w:t xml:space="preserve">Apartheid’s Rebels: Inside South Africa’s Hidden </w:t>
      </w:r>
      <w:r w:rsidRPr="00222F2D">
        <w:rPr>
          <w:i/>
        </w:rPr>
        <w:t>War</w:t>
      </w:r>
      <w:r>
        <w:t xml:space="preserve">, Yale University Press, 1987, pp. </w:t>
      </w:r>
      <w:r w:rsidRPr="00222F2D">
        <w:t>61</w:t>
      </w:r>
      <w:r>
        <w:t>-65</w:t>
      </w:r>
    </w:p>
  </w:footnote>
  <w:footnote w:id="435">
    <w:p w:rsidR="002B4254" w:rsidRPr="001F4F73" w:rsidRDefault="002B4254">
      <w:pPr>
        <w:pStyle w:val="FootnoteText"/>
      </w:pPr>
      <w:r>
        <w:rPr>
          <w:rStyle w:val="FootnoteReference"/>
        </w:rPr>
        <w:footnoteRef/>
      </w:r>
      <w:r>
        <w:t xml:space="preserve"> Price, </w:t>
      </w:r>
      <w:r>
        <w:rPr>
          <w:i/>
        </w:rPr>
        <w:t>The Apartheid State in Crisis</w:t>
      </w:r>
      <w:r>
        <w:t>, 211-214.</w:t>
      </w:r>
    </w:p>
  </w:footnote>
  <w:footnote w:id="436">
    <w:p w:rsidR="002B4254" w:rsidRDefault="002B4254">
      <w:pPr>
        <w:pStyle w:val="FootnoteText"/>
      </w:pPr>
      <w:r>
        <w:rPr>
          <w:rStyle w:val="FootnoteReference"/>
        </w:rPr>
        <w:footnoteRef/>
      </w:r>
      <w:r>
        <w:t xml:space="preserve"> Ibid. 214-215.</w:t>
      </w:r>
    </w:p>
  </w:footnote>
  <w:footnote w:id="437">
    <w:p w:rsidR="002B4254" w:rsidRDefault="002B4254">
      <w:pPr>
        <w:pStyle w:val="FootnoteText"/>
      </w:pPr>
      <w:r>
        <w:rPr>
          <w:rStyle w:val="FootnoteReference"/>
        </w:rPr>
        <w:footnoteRef/>
      </w:r>
      <w:r>
        <w:t xml:space="preserve"> John S. Saul, “The Crisis Deepens,” </w:t>
      </w:r>
      <w:r>
        <w:rPr>
          <w:i/>
        </w:rPr>
        <w:t>The Crisis in South Africa</w:t>
      </w:r>
      <w:r>
        <w:t>, eds. John S. Saul and Stephen Gelb, Monthly Review Press, 1986, pp. 211-241</w:t>
      </w:r>
    </w:p>
  </w:footnote>
  <w:footnote w:id="438">
    <w:p w:rsidR="002B4254" w:rsidRDefault="002B4254">
      <w:pPr>
        <w:pStyle w:val="FootnoteText"/>
      </w:pPr>
      <w:r>
        <w:rPr>
          <w:rStyle w:val="FootnoteReference"/>
        </w:rPr>
        <w:footnoteRef/>
      </w:r>
      <w:r>
        <w:t xml:space="preserve"> Christopher Paul, Colin P. Clarke, Beth Grill, and Molly Dunigan, “South Africa, 1960-1990 Case Outcome: COIN Loss” in </w:t>
      </w:r>
      <w:r>
        <w:rPr>
          <w:i/>
        </w:rPr>
        <w:t>Paths to Victory: Detailed Insurgency Case Studies</w:t>
      </w:r>
      <w:r>
        <w:t xml:space="preserve"> (Santa Monica, CA: RAND Corporation, 2013) 171-174.</w:t>
      </w:r>
    </w:p>
  </w:footnote>
  <w:footnote w:id="439">
    <w:p w:rsidR="002B4254" w:rsidRDefault="002B4254">
      <w:pPr>
        <w:pStyle w:val="FootnoteText"/>
      </w:pPr>
      <w:r>
        <w:rPr>
          <w:rStyle w:val="FootnoteReference"/>
        </w:rPr>
        <w:footnoteRef/>
      </w:r>
      <w:r>
        <w:t xml:space="preserve"> Mampilly, “Stationary Bandits,” pp. 163-164 </w:t>
      </w:r>
    </w:p>
  </w:footnote>
  <w:footnote w:id="440">
    <w:p w:rsidR="002B4254" w:rsidRDefault="002B4254">
      <w:pPr>
        <w:pStyle w:val="FootnoteText"/>
      </w:pPr>
      <w:r>
        <w:rPr>
          <w:rStyle w:val="FootnoteReference"/>
        </w:rPr>
        <w:footnoteRef/>
      </w:r>
      <w:r>
        <w:t xml:space="preserve"> Chris Smith, “Sri Lanka: The Continued Armed Struggle of the LTTE,” </w:t>
      </w:r>
      <w:r>
        <w:rPr>
          <w:i/>
        </w:rPr>
        <w:t>From Soldiers to Politicians: Transforming Rebel Movements After Civil War</w:t>
      </w:r>
      <w:r>
        <w:t>, ed. Jeroen De Zeeuw, Lynne Reinner Publishers, 2008, pp. 206-207, 213-215; LTTE fighters consistently attacked Sri Lankan police officers and stations.</w:t>
      </w:r>
    </w:p>
  </w:footnote>
  <w:footnote w:id="441">
    <w:p w:rsidR="002B4254" w:rsidRPr="00DB6DAD" w:rsidRDefault="002B4254">
      <w:pPr>
        <w:pStyle w:val="FootnoteText"/>
      </w:pPr>
      <w:r>
        <w:rPr>
          <w:rStyle w:val="FootnoteReference"/>
        </w:rPr>
        <w:footnoteRef/>
      </w:r>
      <w:r>
        <w:t xml:space="preserve"> Mampilly, </w:t>
      </w:r>
      <w:r>
        <w:rPr>
          <w:i/>
        </w:rPr>
        <w:t>Rebel Rulers</w:t>
      </w:r>
      <w:r>
        <w:t>, pp. 108-109</w:t>
      </w:r>
    </w:p>
  </w:footnote>
  <w:footnote w:id="442">
    <w:p w:rsidR="002B4254" w:rsidRDefault="002B4254">
      <w:pPr>
        <w:pStyle w:val="FootnoteText"/>
      </w:pPr>
      <w:r>
        <w:rPr>
          <w:rStyle w:val="FootnoteReference"/>
        </w:rPr>
        <w:footnoteRef/>
      </w:r>
      <w:r>
        <w:t xml:space="preserve"> Mampilly, “Stationary Bandits,” pp. 164-165</w:t>
      </w:r>
    </w:p>
  </w:footnote>
  <w:footnote w:id="443">
    <w:p w:rsidR="002B4254" w:rsidRDefault="002B4254">
      <w:pPr>
        <w:pStyle w:val="FootnoteText"/>
      </w:pPr>
      <w:r>
        <w:rPr>
          <w:rStyle w:val="FootnoteReference"/>
        </w:rPr>
        <w:footnoteRef/>
      </w:r>
      <w:r>
        <w:t xml:space="preserve"> Ibid. pp. 170-171</w:t>
      </w:r>
    </w:p>
  </w:footnote>
  <w:footnote w:id="444">
    <w:p w:rsidR="002B4254" w:rsidRDefault="002B4254">
      <w:pPr>
        <w:pStyle w:val="FootnoteText"/>
      </w:pPr>
      <w:r>
        <w:rPr>
          <w:rStyle w:val="FootnoteReference"/>
        </w:rPr>
        <w:footnoteRef/>
      </w:r>
      <w:r>
        <w:t xml:space="preserve"> Smith, “Sri Lanka,” pp. 208-209</w:t>
      </w:r>
    </w:p>
  </w:footnote>
  <w:footnote w:id="445">
    <w:p w:rsidR="002B4254" w:rsidRDefault="002B4254">
      <w:pPr>
        <w:pStyle w:val="FootnoteText"/>
      </w:pPr>
      <w:r>
        <w:rPr>
          <w:rStyle w:val="FootnoteReference"/>
        </w:rPr>
        <w:footnoteRef/>
      </w:r>
      <w:r>
        <w:t xml:space="preserve"> Mampilly, “Stationary Bandits,” pp. 165-166</w:t>
      </w:r>
    </w:p>
  </w:footnote>
  <w:footnote w:id="446">
    <w:p w:rsidR="002B4254" w:rsidRDefault="002B4254">
      <w:pPr>
        <w:pStyle w:val="FootnoteText"/>
      </w:pPr>
      <w:r>
        <w:rPr>
          <w:rStyle w:val="FootnoteReference"/>
        </w:rPr>
        <w:footnoteRef/>
      </w:r>
      <w:r>
        <w:t xml:space="preserve"> Smith, “Sri Lanka,” p. 209</w:t>
      </w:r>
    </w:p>
  </w:footnote>
  <w:footnote w:id="447">
    <w:p w:rsidR="002B4254" w:rsidRDefault="002B4254">
      <w:pPr>
        <w:pStyle w:val="FootnoteText"/>
      </w:pPr>
      <w:r>
        <w:rPr>
          <w:rStyle w:val="FootnoteReference"/>
        </w:rPr>
        <w:footnoteRef/>
      </w:r>
      <w:r>
        <w:t xml:space="preserve"> Mampilly, “Stationary Bandits,” pp. 75-83</w:t>
      </w:r>
    </w:p>
  </w:footnote>
  <w:footnote w:id="448">
    <w:p w:rsidR="002B4254" w:rsidRPr="00640951" w:rsidRDefault="002B4254">
      <w:pPr>
        <w:pStyle w:val="FootnoteText"/>
      </w:pPr>
      <w:r>
        <w:rPr>
          <w:rStyle w:val="FootnoteReference"/>
        </w:rPr>
        <w:footnoteRef/>
      </w:r>
      <w:r>
        <w:t xml:space="preserve"> Mampilly, </w:t>
      </w:r>
      <w:r>
        <w:rPr>
          <w:i/>
        </w:rPr>
        <w:t>Rebel Rulers</w:t>
      </w:r>
      <w:r>
        <w:t>, pp. 112-128</w:t>
      </w:r>
    </w:p>
  </w:footnote>
  <w:footnote w:id="449">
    <w:p w:rsidR="002B4254" w:rsidRDefault="002B4254">
      <w:pPr>
        <w:pStyle w:val="FootnoteText"/>
      </w:pPr>
      <w:r>
        <w:rPr>
          <w:rStyle w:val="FootnoteReference"/>
        </w:rPr>
        <w:footnoteRef/>
      </w:r>
      <w:r>
        <w:t xml:space="preserve"> Mampilly, “Stationary Bandits,” pp. 178-182</w:t>
      </w:r>
    </w:p>
  </w:footnote>
  <w:footnote w:id="450">
    <w:p w:rsidR="002B4254" w:rsidRDefault="002B4254">
      <w:pPr>
        <w:pStyle w:val="FootnoteText"/>
      </w:pPr>
      <w:r>
        <w:rPr>
          <w:rStyle w:val="FootnoteReference"/>
        </w:rPr>
        <w:footnoteRef/>
      </w:r>
      <w:r>
        <w:t xml:space="preserve"> Ibid. pp. 182-184</w:t>
      </w:r>
    </w:p>
  </w:footnote>
  <w:footnote w:id="451">
    <w:p w:rsidR="002B4254" w:rsidRDefault="002B4254">
      <w:pPr>
        <w:pStyle w:val="FootnoteText"/>
      </w:pPr>
      <w:r>
        <w:rPr>
          <w:rStyle w:val="FootnoteReference"/>
        </w:rPr>
        <w:footnoteRef/>
      </w:r>
      <w:r>
        <w:t xml:space="preserve"> This also appears to be the case with regard to providing food and encouraging economic development to depressed areas (see: Saman Kelegama, “Transforming a Conflict Using an Economic Dividend: The Sri Lankan Experience,” </w:t>
      </w:r>
      <w:r>
        <w:rPr>
          <w:i/>
        </w:rPr>
        <w:t>Federalism and Conflict Resolution in Sri Lanka</w:t>
      </w:r>
      <w:r w:rsidRPr="00260E83">
        <w:t>,</w:t>
      </w:r>
      <w:r>
        <w:t xml:space="preserve"> eds. V.R. Raghavan, and Volker Bauer, Centre for Security Analysis/Lancer Publishers &amp; Distributors, 2006, pp. 64-66).</w:t>
      </w:r>
    </w:p>
  </w:footnote>
  <w:footnote w:id="452">
    <w:p w:rsidR="002B4254" w:rsidRDefault="002B4254">
      <w:pPr>
        <w:pStyle w:val="FootnoteText"/>
      </w:pPr>
      <w:r>
        <w:rPr>
          <w:rStyle w:val="FootnoteReference"/>
        </w:rPr>
        <w:footnoteRef/>
      </w:r>
      <w:r>
        <w:t xml:space="preserve"> Ibid. pp. 184-186</w:t>
      </w:r>
    </w:p>
  </w:footnote>
  <w:footnote w:id="453">
    <w:p w:rsidR="002B4254" w:rsidRDefault="002B4254">
      <w:pPr>
        <w:pStyle w:val="FootnoteText"/>
      </w:pPr>
      <w:r>
        <w:rPr>
          <w:rStyle w:val="FootnoteReference"/>
        </w:rPr>
        <w:footnoteRef/>
      </w:r>
      <w:r>
        <w:t xml:space="preserve"> Smith, “Sri Lanka,” pp. 205-223</w:t>
      </w:r>
    </w:p>
  </w:footnote>
  <w:footnote w:id="454">
    <w:p w:rsidR="002B4254" w:rsidRDefault="002B4254">
      <w:pPr>
        <w:pStyle w:val="FootnoteText"/>
      </w:pPr>
      <w:r>
        <w:rPr>
          <w:rStyle w:val="FootnoteReference"/>
        </w:rPr>
        <w:footnoteRef/>
      </w:r>
      <w:r>
        <w:t xml:space="preserve"> Mampilly, “Stationary Bandits,” pp. 174-176</w:t>
      </w:r>
    </w:p>
  </w:footnote>
  <w:footnote w:id="455">
    <w:p w:rsidR="002B4254" w:rsidRDefault="002B4254">
      <w:pPr>
        <w:pStyle w:val="FootnoteText"/>
      </w:pPr>
      <w:r>
        <w:rPr>
          <w:rStyle w:val="FootnoteReference"/>
        </w:rPr>
        <w:footnoteRef/>
      </w:r>
      <w:r>
        <w:t xml:space="preserve"> Oliver Brenninkmeijer, “Tajikistan’s Elusive Peace,” </w:t>
      </w:r>
      <w:r>
        <w:rPr>
          <w:i/>
        </w:rPr>
        <w:t>The World Today</w:t>
      </w:r>
      <w:r>
        <w:t xml:space="preserve">, Vol. 52, No. 2 (Feb. 1996), pp. 42-45 </w:t>
      </w:r>
    </w:p>
  </w:footnote>
  <w:footnote w:id="456">
    <w:p w:rsidR="002B4254" w:rsidRDefault="002B4254">
      <w:pPr>
        <w:pStyle w:val="FootnoteText"/>
      </w:pPr>
      <w:r>
        <w:rPr>
          <w:rStyle w:val="FootnoteReference"/>
        </w:rPr>
        <w:footnoteRef/>
      </w:r>
      <w:r>
        <w:t xml:space="preserve"> Muriel Atkin, “Tajikistan: Reform, Reaction, and Civil War,” </w:t>
      </w:r>
      <w:r w:rsidRPr="006D136E">
        <w:rPr>
          <w:i/>
        </w:rPr>
        <w:t>New States, New Politics: Building the Post-Soviet Nations</w:t>
      </w:r>
      <w:r w:rsidRPr="006D136E">
        <w:t xml:space="preserve">, eds. Ian Bremmer and Ray Taras, Cambridge University Press, 1997, </w:t>
      </w:r>
      <w:r>
        <w:t>pp. 610-612</w:t>
      </w:r>
    </w:p>
  </w:footnote>
  <w:footnote w:id="457">
    <w:p w:rsidR="002B4254" w:rsidRDefault="002B4254">
      <w:pPr>
        <w:pStyle w:val="FootnoteText"/>
      </w:pPr>
      <w:r>
        <w:rPr>
          <w:rStyle w:val="FootnoteReference"/>
        </w:rPr>
        <w:footnoteRef/>
      </w:r>
      <w:r>
        <w:t xml:space="preserve"> Shirin Akiner, </w:t>
      </w:r>
      <w:r>
        <w:rPr>
          <w:i/>
        </w:rPr>
        <w:t>Tajikistan: Disintegration or Reconciliation</w:t>
      </w:r>
      <w:r>
        <w:t>, The Royal Institute of International Affairs, 2001, pp. 37-44</w:t>
      </w:r>
    </w:p>
  </w:footnote>
  <w:footnote w:id="458">
    <w:p w:rsidR="002B4254" w:rsidRDefault="002B4254">
      <w:pPr>
        <w:pStyle w:val="FootnoteText"/>
      </w:pPr>
      <w:r>
        <w:rPr>
          <w:rStyle w:val="FootnoteReference"/>
        </w:rPr>
        <w:footnoteRef/>
      </w:r>
      <w:r>
        <w:t xml:space="preserve"> Kerim Yildiz, </w:t>
      </w:r>
      <w:r>
        <w:rPr>
          <w:i/>
        </w:rPr>
        <w:t>The Kurds in Turkey: EU Accession and Human Rights</w:t>
      </w:r>
      <w:r>
        <w:t>, Pluto Press, 2005, pp. 104-107</w:t>
      </w:r>
    </w:p>
  </w:footnote>
  <w:footnote w:id="459">
    <w:p w:rsidR="002B4254" w:rsidRPr="004E6BD8" w:rsidRDefault="002B4254">
      <w:pPr>
        <w:pStyle w:val="FootnoteText"/>
      </w:pPr>
      <w:r>
        <w:rPr>
          <w:rStyle w:val="FootnoteReference"/>
        </w:rPr>
        <w:footnoteRef/>
      </w:r>
      <w:r>
        <w:t xml:space="preserve"> Hamit Bozarslan, “Turkey’s Elections and the Kurds,” </w:t>
      </w:r>
      <w:r>
        <w:rPr>
          <w:i/>
        </w:rPr>
        <w:t>Middle East Report</w:t>
      </w:r>
      <w:r>
        <w:t xml:space="preserve">, No. 199 (Apr. – Jun. 1996), pp. 16-19 </w:t>
      </w:r>
    </w:p>
  </w:footnote>
  <w:footnote w:id="460">
    <w:p w:rsidR="002B4254" w:rsidRDefault="002B4254">
      <w:pPr>
        <w:pStyle w:val="FootnoteText"/>
      </w:pPr>
      <w:r>
        <w:rPr>
          <w:rStyle w:val="FootnoteReference"/>
        </w:rPr>
        <w:footnoteRef/>
      </w:r>
      <w:r>
        <w:t xml:space="preserve"> </w:t>
      </w:r>
      <w:r w:rsidRPr="00E93F0F">
        <w:t>Güneş Murat</w:t>
      </w:r>
      <w:r w:rsidRPr="005E4B61">
        <w:t xml:space="preserve"> </w:t>
      </w:r>
      <w:r w:rsidRPr="00E93F0F">
        <w:t>Tezcür</w:t>
      </w:r>
      <w:r>
        <w:t>, “</w:t>
      </w:r>
      <w:r w:rsidRPr="00E93F0F">
        <w:t>When democratization radicalizes: The Kurdish nationalist movement in Turkey</w:t>
      </w:r>
      <w:r>
        <w:t xml:space="preserve">,” </w:t>
      </w:r>
      <w:r>
        <w:rPr>
          <w:i/>
        </w:rPr>
        <w:t>Journal of Peace Research</w:t>
      </w:r>
      <w:r>
        <w:t>, Vol. 47, No. 6 (Nov., 2010),</w:t>
      </w:r>
      <w:r w:rsidRPr="00E93F0F">
        <w:t xml:space="preserve"> </w:t>
      </w:r>
      <w:r>
        <w:t>pp. 775-779</w:t>
      </w:r>
    </w:p>
  </w:footnote>
  <w:footnote w:id="461">
    <w:p w:rsidR="002B4254" w:rsidRDefault="002B4254">
      <w:pPr>
        <w:pStyle w:val="FootnoteText"/>
      </w:pPr>
      <w:r>
        <w:rPr>
          <w:rStyle w:val="FootnoteReference"/>
        </w:rPr>
        <w:footnoteRef/>
      </w:r>
      <w:r>
        <w:t xml:space="preserve"> Yildiz, </w:t>
      </w:r>
      <w:r>
        <w:rPr>
          <w:i/>
        </w:rPr>
        <w:t>Kurds in Turkey</w:t>
      </w:r>
      <w:r>
        <w:t>, pp. 15-19</w:t>
      </w:r>
    </w:p>
  </w:footnote>
  <w:footnote w:id="462">
    <w:p w:rsidR="002B4254" w:rsidRDefault="002B4254">
      <w:pPr>
        <w:pStyle w:val="FootnoteText"/>
      </w:pPr>
      <w:r>
        <w:rPr>
          <w:rStyle w:val="FootnoteReference"/>
        </w:rPr>
        <w:footnoteRef/>
      </w:r>
      <w:r>
        <w:t xml:space="preserve"> Monica Duffy Toft, </w:t>
      </w:r>
      <w:r>
        <w:rPr>
          <w:i/>
        </w:rPr>
        <w:t>Securing the Peace: The Durable Settlement of Civil Wars</w:t>
      </w:r>
      <w:r>
        <w:t>, Princeton University Press, 2010, pp. 101-104</w:t>
      </w:r>
    </w:p>
  </w:footnote>
  <w:footnote w:id="463">
    <w:p w:rsidR="002B4254" w:rsidRDefault="002B4254">
      <w:pPr>
        <w:pStyle w:val="FootnoteText"/>
      </w:pPr>
      <w:r>
        <w:rPr>
          <w:rStyle w:val="FootnoteReference"/>
        </w:rPr>
        <w:footnoteRef/>
      </w:r>
      <w:r>
        <w:t xml:space="preserve"> Ibid. pp. 109-111</w:t>
      </w:r>
    </w:p>
  </w:footnote>
  <w:footnote w:id="464">
    <w:p w:rsidR="002B4254" w:rsidRPr="0078713D" w:rsidRDefault="002B4254">
      <w:pPr>
        <w:pStyle w:val="FootnoteText"/>
      </w:pPr>
      <w:r>
        <w:rPr>
          <w:rStyle w:val="FootnoteReference"/>
        </w:rPr>
        <w:footnoteRef/>
      </w:r>
      <w:r>
        <w:t xml:space="preserve"> Reyko Huang, </w:t>
      </w:r>
      <w:r>
        <w:rPr>
          <w:i/>
        </w:rPr>
        <w:t xml:space="preserve">The </w:t>
      </w:r>
      <w:r w:rsidRPr="000B1C70">
        <w:rPr>
          <w:i/>
        </w:rPr>
        <w:t>W</w:t>
      </w:r>
      <w:r>
        <w:rPr>
          <w:i/>
        </w:rPr>
        <w:t>artime Origins of Democratization: Civil War, Rebel Governance, and Political Regimes</w:t>
      </w:r>
      <w:r>
        <w:t>, Cambridge University Press, 2016, pp. 144-146</w:t>
      </w:r>
    </w:p>
  </w:footnote>
  <w:footnote w:id="465">
    <w:p w:rsidR="002B4254" w:rsidRDefault="002B4254">
      <w:pPr>
        <w:pStyle w:val="FootnoteText"/>
      </w:pPr>
      <w:r>
        <w:rPr>
          <w:rStyle w:val="FootnoteReference"/>
        </w:rPr>
        <w:footnoteRef/>
      </w:r>
      <w:r>
        <w:t xml:space="preserve"> Giovanni Carbone, </w:t>
      </w:r>
      <w:r>
        <w:rPr>
          <w:i/>
        </w:rPr>
        <w:t>No-Party Democracy?: Ugandan Politics in Comparative Perspective</w:t>
      </w:r>
      <w:r>
        <w:t>, Lynne-Reinner, 2008, pp. 19-20</w:t>
      </w:r>
    </w:p>
  </w:footnote>
  <w:footnote w:id="466">
    <w:p w:rsidR="002B4254" w:rsidRDefault="002B4254" w:rsidP="00414B38">
      <w:pPr>
        <w:pStyle w:val="FootnoteText"/>
      </w:pPr>
      <w:r>
        <w:rPr>
          <w:rStyle w:val="FootnoteReference"/>
        </w:rPr>
        <w:footnoteRef/>
      </w:r>
      <w:r>
        <w:t xml:space="preserve"> Juma Okuku, </w:t>
      </w:r>
      <w:r>
        <w:rPr>
          <w:i/>
        </w:rPr>
        <w:t>Ethnicity, State Power and the Democratisation Process in Uganda</w:t>
      </w:r>
      <w:r>
        <w:t>, Nordiska Afrikainstitutet, 2002, pp. 22-23, 26; Ironically, these councils appeared to have ceased to operate as instruments of representative government after the war, quickly becoming a means of control for the Museveni regime.</w:t>
      </w:r>
    </w:p>
  </w:footnote>
  <w:footnote w:id="467">
    <w:p w:rsidR="002B4254" w:rsidRPr="00326DCE" w:rsidRDefault="002B4254">
      <w:pPr>
        <w:pStyle w:val="FootnoteText"/>
      </w:pPr>
      <w:r>
        <w:rPr>
          <w:rStyle w:val="FootnoteReference"/>
        </w:rPr>
        <w:footnoteRef/>
      </w:r>
      <w:r>
        <w:t xml:space="preserve"> Carbone, </w:t>
      </w:r>
      <w:r>
        <w:rPr>
          <w:i/>
        </w:rPr>
        <w:t>No-Party Democracy?</w:t>
      </w:r>
      <w:r>
        <w:t>, pp. 31-32, 42-43</w:t>
      </w:r>
    </w:p>
  </w:footnote>
  <w:footnote w:id="468">
    <w:p w:rsidR="002B4254" w:rsidRDefault="002B4254">
      <w:pPr>
        <w:pStyle w:val="FootnoteText"/>
      </w:pPr>
      <w:r>
        <w:rPr>
          <w:rStyle w:val="FootnoteReference"/>
        </w:rPr>
        <w:footnoteRef/>
      </w:r>
      <w:r>
        <w:t xml:space="preserve"> Ezra Sabiti</w:t>
      </w:r>
      <w:r w:rsidRPr="003670DD">
        <w:t xml:space="preserve"> </w:t>
      </w:r>
      <w:r>
        <w:t xml:space="preserve">Suruma, </w:t>
      </w:r>
      <w:r>
        <w:rPr>
          <w:i/>
        </w:rPr>
        <w:t>Advancing the Ugandan Economy: A Personal Account</w:t>
      </w:r>
      <w:r>
        <w:t>, Brookings Institution Press, 2014, pp. 83-84</w:t>
      </w:r>
    </w:p>
  </w:footnote>
  <w:footnote w:id="469">
    <w:p w:rsidR="002B4254" w:rsidRDefault="002B4254">
      <w:pPr>
        <w:pStyle w:val="FootnoteText"/>
      </w:pPr>
      <w:r>
        <w:rPr>
          <w:rStyle w:val="FootnoteReference"/>
        </w:rPr>
        <w:footnoteRef/>
      </w:r>
      <w:r>
        <w:t xml:space="preserve"> Carbone, </w:t>
      </w:r>
      <w:r>
        <w:rPr>
          <w:i/>
        </w:rPr>
        <w:t>No-Party Democracy?</w:t>
      </w:r>
      <w:r>
        <w:t>,  pp. 57-58</w:t>
      </w:r>
    </w:p>
  </w:footnote>
  <w:footnote w:id="470">
    <w:p w:rsidR="002B4254" w:rsidRDefault="002B4254">
      <w:pPr>
        <w:pStyle w:val="FootnoteText"/>
      </w:pPr>
      <w:r>
        <w:rPr>
          <w:rStyle w:val="FootnoteReference"/>
        </w:rPr>
        <w:footnoteRef/>
      </w:r>
      <w:r>
        <w:t xml:space="preserve"> Paul Collier and Sanjay Pradhan, “Economic Aspects of the Transition From Civil War,” </w:t>
      </w:r>
      <w:r>
        <w:rPr>
          <w:i/>
        </w:rPr>
        <w:t>Developing Uganda</w:t>
      </w:r>
      <w:r>
        <w:t>, eds. Holger Bernt Hansen and Michael Twaddle, Ohio University Press, 1998, pp. 34-35</w:t>
      </w:r>
    </w:p>
  </w:footnote>
  <w:footnote w:id="471">
    <w:p w:rsidR="002B4254" w:rsidRDefault="002B4254">
      <w:pPr>
        <w:pStyle w:val="FootnoteText"/>
      </w:pPr>
      <w:r>
        <w:rPr>
          <w:rStyle w:val="FootnoteReference"/>
        </w:rPr>
        <w:footnoteRef/>
      </w:r>
      <w:r>
        <w:t xml:space="preserve"> Aili Marie Tripp, “Local women’s associations and politics in contemporary Uganda,” </w:t>
      </w:r>
      <w:r>
        <w:rPr>
          <w:i/>
        </w:rPr>
        <w:t>Developing Uganda</w:t>
      </w:r>
      <w:r>
        <w:t>, eds. Holger Bernt Hansen and Michael Twaddle, Ohio University Press, 1998, pp. 120-123</w:t>
      </w:r>
    </w:p>
  </w:footnote>
  <w:footnote w:id="472">
    <w:p w:rsidR="002B4254" w:rsidRPr="00C840FF" w:rsidRDefault="002B4254">
      <w:pPr>
        <w:pStyle w:val="FootnoteText"/>
      </w:pPr>
      <w:r>
        <w:rPr>
          <w:rStyle w:val="FootnoteReference"/>
        </w:rPr>
        <w:footnoteRef/>
      </w:r>
      <w:r>
        <w:t xml:space="preserve"> Weinstein, </w:t>
      </w:r>
      <w:r>
        <w:rPr>
          <w:i/>
        </w:rPr>
        <w:t>Inside Rebellion</w:t>
      </w:r>
      <w:r>
        <w:t>, pp. 175-180</w:t>
      </w:r>
    </w:p>
  </w:footnote>
  <w:footnote w:id="473">
    <w:p w:rsidR="002B4254" w:rsidRPr="00FF63A8" w:rsidRDefault="002B4254">
      <w:pPr>
        <w:pStyle w:val="FootnoteText"/>
      </w:pPr>
      <w:r>
        <w:rPr>
          <w:rStyle w:val="FootnoteReference"/>
        </w:rPr>
        <w:footnoteRef/>
      </w:r>
      <w:r>
        <w:t xml:space="preserve"> Toft, </w:t>
      </w:r>
      <w:r>
        <w:rPr>
          <w:i/>
        </w:rPr>
        <w:t>Securing the Peace</w:t>
      </w:r>
      <w:r>
        <w:t>, pp. 108-109</w:t>
      </w:r>
    </w:p>
  </w:footnote>
  <w:footnote w:id="474">
    <w:p w:rsidR="002B4254" w:rsidRDefault="002B4254">
      <w:pPr>
        <w:pStyle w:val="FootnoteText"/>
      </w:pPr>
      <w:r>
        <w:rPr>
          <w:rStyle w:val="FootnoteReference"/>
        </w:rPr>
        <w:footnoteRef/>
      </w:r>
      <w:r>
        <w:t xml:space="preserve"> Lawrence E. Cline, </w:t>
      </w:r>
      <w:r>
        <w:rPr>
          <w:i/>
        </w:rPr>
        <w:t>The Lord’s Resistance Army</w:t>
      </w:r>
      <w:r>
        <w:t>, Praeger Press, 2013, pp. 15-23</w:t>
      </w:r>
    </w:p>
  </w:footnote>
  <w:footnote w:id="475">
    <w:p w:rsidR="002B4254" w:rsidRDefault="002B4254">
      <w:pPr>
        <w:pStyle w:val="FootnoteText"/>
      </w:pPr>
      <w:r>
        <w:rPr>
          <w:rStyle w:val="FootnoteReference"/>
        </w:rPr>
        <w:footnoteRef/>
      </w:r>
      <w:r>
        <w:t xml:space="preserve"> Ibid. p. 107</w:t>
      </w:r>
    </w:p>
  </w:footnote>
  <w:footnote w:id="476">
    <w:p w:rsidR="002B4254" w:rsidRDefault="002B4254">
      <w:pPr>
        <w:pStyle w:val="FootnoteText"/>
      </w:pPr>
      <w:r>
        <w:rPr>
          <w:rStyle w:val="FootnoteReference"/>
        </w:rPr>
        <w:footnoteRef/>
      </w:r>
      <w:r>
        <w:t xml:space="preserve"> Ibid. p. 23</w:t>
      </w:r>
    </w:p>
  </w:footnote>
  <w:footnote w:id="477">
    <w:p w:rsidR="002B4254" w:rsidRPr="003E0DCA" w:rsidRDefault="002B4254" w:rsidP="00950FAD">
      <w:pPr>
        <w:pStyle w:val="FootnoteText"/>
      </w:pPr>
      <w:r>
        <w:rPr>
          <w:rStyle w:val="FootnoteReference"/>
        </w:rPr>
        <w:footnoteRef/>
      </w:r>
      <w:r>
        <w:t xml:space="preserve"> Surama, </w:t>
      </w:r>
      <w:r>
        <w:rPr>
          <w:i/>
        </w:rPr>
        <w:t>Advancing the Ugandan Economy</w:t>
      </w:r>
      <w:r>
        <w:t>, p. 25</w:t>
      </w:r>
    </w:p>
  </w:footnote>
  <w:footnote w:id="478">
    <w:p w:rsidR="002B4254" w:rsidRPr="00950FAD" w:rsidRDefault="002B4254">
      <w:pPr>
        <w:pStyle w:val="FootnoteText"/>
      </w:pPr>
      <w:r>
        <w:rPr>
          <w:rStyle w:val="FootnoteReference"/>
        </w:rPr>
        <w:footnoteRef/>
      </w:r>
      <w:r>
        <w:t xml:space="preserve"> Carbone, </w:t>
      </w:r>
      <w:r>
        <w:rPr>
          <w:i/>
        </w:rPr>
        <w:t>No-Party Democracy</w:t>
      </w:r>
      <w:r>
        <w:t>, pp. 73-74</w:t>
      </w:r>
    </w:p>
  </w:footnote>
  <w:footnote w:id="479">
    <w:p w:rsidR="002B4254" w:rsidRDefault="002B4254">
      <w:pPr>
        <w:pStyle w:val="FootnoteText"/>
      </w:pPr>
      <w:r>
        <w:rPr>
          <w:rStyle w:val="FootnoteReference"/>
        </w:rPr>
        <w:footnoteRef/>
      </w:r>
      <w:r>
        <w:t xml:space="preserve"> Victoria Clark, </w:t>
      </w:r>
      <w:r>
        <w:rPr>
          <w:i/>
        </w:rPr>
        <w:t>Yemen: Dancing on the Heads of Snakes</w:t>
      </w:r>
      <w:r>
        <w:t>, Yale University Press, 2010, pp. 130-145</w:t>
      </w:r>
    </w:p>
  </w:footnote>
  <w:footnote w:id="480">
    <w:p w:rsidR="002B4254" w:rsidRPr="00FC7303" w:rsidRDefault="002B4254">
      <w:pPr>
        <w:pStyle w:val="FootnoteText"/>
      </w:pPr>
      <w:r>
        <w:rPr>
          <w:rStyle w:val="FootnoteReference"/>
        </w:rPr>
        <w:footnoteRef/>
      </w:r>
      <w:r>
        <w:t xml:space="preserve"> Susanne Dahlgren, “The Snake with a Thousand Heads: The Southern Cause in Yemen” </w:t>
      </w:r>
      <w:r>
        <w:rPr>
          <w:i/>
        </w:rPr>
        <w:t>The Arab Revolts: Dispatches on Militant Democracy in the Middle East</w:t>
      </w:r>
      <w:r>
        <w:t>, eds.</w:t>
      </w:r>
      <w:r w:rsidRPr="00FC7303">
        <w:t xml:space="preserve"> David</w:t>
      </w:r>
      <w:r>
        <w:t xml:space="preserve"> McMurray and Amanda Ufheil-Somers, Indiana University Press, 2013, pp. 144-146</w:t>
      </w:r>
    </w:p>
  </w:footnote>
  <w:footnote w:id="481">
    <w:p w:rsidR="002B4254" w:rsidRDefault="002B4254">
      <w:pPr>
        <w:pStyle w:val="FootnoteText"/>
      </w:pPr>
      <w:r>
        <w:rPr>
          <w:rStyle w:val="FootnoteReference"/>
        </w:rPr>
        <w:footnoteRef/>
      </w:r>
      <w:r>
        <w:t xml:space="preserve"> “Chronology April 16, 1994-July 15, 1994” </w:t>
      </w:r>
      <w:r>
        <w:rPr>
          <w:i/>
        </w:rPr>
        <w:t>Middle East Journal</w:t>
      </w:r>
      <w:r>
        <w:t>, Vol. 48, No. 4 (Autumn, 1994), pp. 715-717</w:t>
      </w:r>
    </w:p>
  </w:footnote>
  <w:footnote w:id="482">
    <w:p w:rsidR="002B4254" w:rsidRDefault="002B4254">
      <w:pPr>
        <w:pStyle w:val="FootnoteText"/>
      </w:pPr>
      <w:r>
        <w:rPr>
          <w:rStyle w:val="FootnoteReference"/>
        </w:rPr>
        <w:footnoteRef/>
      </w:r>
      <w:r>
        <w:t xml:space="preserve"> Victoria Clark, </w:t>
      </w:r>
      <w:r>
        <w:rPr>
          <w:i/>
        </w:rPr>
        <w:t>Yemen: Dancing on the Heads of Snakes</w:t>
      </w:r>
      <w:r>
        <w:t>, Yale University Press, 2010, pp. 123-127</w:t>
      </w:r>
    </w:p>
  </w:footnote>
  <w:footnote w:id="483">
    <w:p w:rsidR="002B4254" w:rsidRPr="00C413FF" w:rsidRDefault="002B4254">
      <w:pPr>
        <w:pStyle w:val="FootnoteText"/>
      </w:pPr>
      <w:r>
        <w:rPr>
          <w:rStyle w:val="FootnoteReference"/>
        </w:rPr>
        <w:footnoteRef/>
      </w:r>
      <w:r>
        <w:t xml:space="preserve"> Fred Halliday, “Catastrophe in South Yemen: A Preliminary Assessment,” </w:t>
      </w:r>
      <w:r>
        <w:rPr>
          <w:i/>
        </w:rPr>
        <w:t>MERIP Middle East Report</w:t>
      </w:r>
      <w:r>
        <w:t>, No. 139 (March – April 1986), pp. 37-39</w:t>
      </w:r>
    </w:p>
  </w:footnote>
  <w:footnote w:id="484">
    <w:p w:rsidR="002B4254" w:rsidRPr="007B3A6A" w:rsidRDefault="002B4254">
      <w:pPr>
        <w:pStyle w:val="FootnoteText"/>
      </w:pPr>
      <w:r>
        <w:rPr>
          <w:rStyle w:val="FootnoteReference"/>
        </w:rPr>
        <w:footnoteRef/>
      </w:r>
      <w:r>
        <w:t xml:space="preserve"> Clark, </w:t>
      </w:r>
      <w:r>
        <w:rPr>
          <w:i/>
        </w:rPr>
        <w:t>Yemen</w:t>
      </w:r>
      <w:r>
        <w:t>, pp. 127-129</w:t>
      </w:r>
    </w:p>
  </w:footnote>
  <w:footnote w:id="485">
    <w:p w:rsidR="002B4254" w:rsidRDefault="002B4254">
      <w:pPr>
        <w:pStyle w:val="FootnoteText"/>
      </w:pPr>
      <w:r>
        <w:rPr>
          <w:rStyle w:val="FootnoteReference"/>
        </w:rPr>
        <w:footnoteRef/>
      </w:r>
      <w:r>
        <w:t xml:space="preserve"> Jean Gueyras and Diane James, “The Last Days of ‘Ali Nasir,” </w:t>
      </w:r>
      <w:r>
        <w:rPr>
          <w:i/>
        </w:rPr>
        <w:t>MERIP Middle East Report</w:t>
      </w:r>
      <w:r>
        <w:t xml:space="preserve">, No. 141 (July – Aug. 1986), pp. 37-40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1EA"/>
    <w:rsid w:val="00000042"/>
    <w:rsid w:val="00003FA5"/>
    <w:rsid w:val="00005872"/>
    <w:rsid w:val="000111E5"/>
    <w:rsid w:val="000141BB"/>
    <w:rsid w:val="000164AB"/>
    <w:rsid w:val="00017E61"/>
    <w:rsid w:val="000200DB"/>
    <w:rsid w:val="00020B24"/>
    <w:rsid w:val="00021033"/>
    <w:rsid w:val="000210A0"/>
    <w:rsid w:val="0002142B"/>
    <w:rsid w:val="00021B4A"/>
    <w:rsid w:val="00022F61"/>
    <w:rsid w:val="00023314"/>
    <w:rsid w:val="00024B06"/>
    <w:rsid w:val="00024E2E"/>
    <w:rsid w:val="00030939"/>
    <w:rsid w:val="00037F20"/>
    <w:rsid w:val="000412AF"/>
    <w:rsid w:val="00050D67"/>
    <w:rsid w:val="00056359"/>
    <w:rsid w:val="00056CB2"/>
    <w:rsid w:val="00057E2E"/>
    <w:rsid w:val="000622D2"/>
    <w:rsid w:val="00063AA9"/>
    <w:rsid w:val="00064361"/>
    <w:rsid w:val="00064807"/>
    <w:rsid w:val="00065CF3"/>
    <w:rsid w:val="0006701A"/>
    <w:rsid w:val="000724DC"/>
    <w:rsid w:val="0007453B"/>
    <w:rsid w:val="000747F5"/>
    <w:rsid w:val="000757D0"/>
    <w:rsid w:val="0008038F"/>
    <w:rsid w:val="00085452"/>
    <w:rsid w:val="00090AF3"/>
    <w:rsid w:val="00090B1A"/>
    <w:rsid w:val="00091CDD"/>
    <w:rsid w:val="00095381"/>
    <w:rsid w:val="000966CF"/>
    <w:rsid w:val="000A4603"/>
    <w:rsid w:val="000A4FBF"/>
    <w:rsid w:val="000A5F34"/>
    <w:rsid w:val="000B1C70"/>
    <w:rsid w:val="000B3A74"/>
    <w:rsid w:val="000B504A"/>
    <w:rsid w:val="000C2901"/>
    <w:rsid w:val="000C40E9"/>
    <w:rsid w:val="000D0BB5"/>
    <w:rsid w:val="000D1B0D"/>
    <w:rsid w:val="000D1CEC"/>
    <w:rsid w:val="000D489A"/>
    <w:rsid w:val="000D7769"/>
    <w:rsid w:val="000E2AFE"/>
    <w:rsid w:val="000E331A"/>
    <w:rsid w:val="000F0256"/>
    <w:rsid w:val="000F4AA2"/>
    <w:rsid w:val="000F68BE"/>
    <w:rsid w:val="001002E3"/>
    <w:rsid w:val="00106CBF"/>
    <w:rsid w:val="0010725C"/>
    <w:rsid w:val="001104D5"/>
    <w:rsid w:val="00111497"/>
    <w:rsid w:val="001118C4"/>
    <w:rsid w:val="001130C0"/>
    <w:rsid w:val="00113754"/>
    <w:rsid w:val="001167A1"/>
    <w:rsid w:val="001211F3"/>
    <w:rsid w:val="0012147A"/>
    <w:rsid w:val="00121CE4"/>
    <w:rsid w:val="00127886"/>
    <w:rsid w:val="00127F3B"/>
    <w:rsid w:val="00135050"/>
    <w:rsid w:val="00135B6A"/>
    <w:rsid w:val="0013654E"/>
    <w:rsid w:val="00151F64"/>
    <w:rsid w:val="001535BF"/>
    <w:rsid w:val="001601D6"/>
    <w:rsid w:val="00160394"/>
    <w:rsid w:val="001655AB"/>
    <w:rsid w:val="00167438"/>
    <w:rsid w:val="00170B15"/>
    <w:rsid w:val="00180418"/>
    <w:rsid w:val="001A61D3"/>
    <w:rsid w:val="001B01B0"/>
    <w:rsid w:val="001B05CB"/>
    <w:rsid w:val="001B07C3"/>
    <w:rsid w:val="001B0816"/>
    <w:rsid w:val="001B22F0"/>
    <w:rsid w:val="001B241E"/>
    <w:rsid w:val="001B5C11"/>
    <w:rsid w:val="001B63C4"/>
    <w:rsid w:val="001C0E45"/>
    <w:rsid w:val="001C1F63"/>
    <w:rsid w:val="001C4738"/>
    <w:rsid w:val="001C581E"/>
    <w:rsid w:val="001C7C85"/>
    <w:rsid w:val="001D0BC5"/>
    <w:rsid w:val="001D2785"/>
    <w:rsid w:val="001D2E94"/>
    <w:rsid w:val="001D3197"/>
    <w:rsid w:val="001D3AD6"/>
    <w:rsid w:val="001D5DC1"/>
    <w:rsid w:val="001E08FA"/>
    <w:rsid w:val="001E0B18"/>
    <w:rsid w:val="001E0DB1"/>
    <w:rsid w:val="001E2130"/>
    <w:rsid w:val="001E35FE"/>
    <w:rsid w:val="001E5267"/>
    <w:rsid w:val="001E6FFB"/>
    <w:rsid w:val="001E70C7"/>
    <w:rsid w:val="001F1F3F"/>
    <w:rsid w:val="001F2EE3"/>
    <w:rsid w:val="001F4F73"/>
    <w:rsid w:val="001F65A8"/>
    <w:rsid w:val="001F75B8"/>
    <w:rsid w:val="00203B0B"/>
    <w:rsid w:val="00204DB5"/>
    <w:rsid w:val="00206275"/>
    <w:rsid w:val="00210204"/>
    <w:rsid w:val="00210689"/>
    <w:rsid w:val="00211B66"/>
    <w:rsid w:val="00212C09"/>
    <w:rsid w:val="00214613"/>
    <w:rsid w:val="00222F2D"/>
    <w:rsid w:val="0022504C"/>
    <w:rsid w:val="00231ECF"/>
    <w:rsid w:val="00235868"/>
    <w:rsid w:val="00237FFB"/>
    <w:rsid w:val="00243466"/>
    <w:rsid w:val="00245671"/>
    <w:rsid w:val="00246D0C"/>
    <w:rsid w:val="00251DAE"/>
    <w:rsid w:val="00254C98"/>
    <w:rsid w:val="00256C9A"/>
    <w:rsid w:val="00257F7D"/>
    <w:rsid w:val="00260DA1"/>
    <w:rsid w:val="00260E83"/>
    <w:rsid w:val="0026161C"/>
    <w:rsid w:val="002640F4"/>
    <w:rsid w:val="00270B6A"/>
    <w:rsid w:val="00271722"/>
    <w:rsid w:val="002743FD"/>
    <w:rsid w:val="002766CD"/>
    <w:rsid w:val="00280566"/>
    <w:rsid w:val="0028199D"/>
    <w:rsid w:val="00286F3F"/>
    <w:rsid w:val="00295F9A"/>
    <w:rsid w:val="00297068"/>
    <w:rsid w:val="002A190F"/>
    <w:rsid w:val="002A7772"/>
    <w:rsid w:val="002B0FB9"/>
    <w:rsid w:val="002B20B5"/>
    <w:rsid w:val="002B23B5"/>
    <w:rsid w:val="002B4254"/>
    <w:rsid w:val="002B4292"/>
    <w:rsid w:val="002C1EAE"/>
    <w:rsid w:val="002C30C5"/>
    <w:rsid w:val="002C4E81"/>
    <w:rsid w:val="002D1417"/>
    <w:rsid w:val="002D3369"/>
    <w:rsid w:val="002D58A5"/>
    <w:rsid w:val="002D5E7A"/>
    <w:rsid w:val="002E3A01"/>
    <w:rsid w:val="002E3BB2"/>
    <w:rsid w:val="002E5806"/>
    <w:rsid w:val="002E5C55"/>
    <w:rsid w:val="002E6C34"/>
    <w:rsid w:val="002F18CB"/>
    <w:rsid w:val="002F3480"/>
    <w:rsid w:val="002F5F29"/>
    <w:rsid w:val="002F6E24"/>
    <w:rsid w:val="0030183F"/>
    <w:rsid w:val="0030386A"/>
    <w:rsid w:val="00305055"/>
    <w:rsid w:val="0030605B"/>
    <w:rsid w:val="00313137"/>
    <w:rsid w:val="00323B03"/>
    <w:rsid w:val="00326181"/>
    <w:rsid w:val="00326DCE"/>
    <w:rsid w:val="00326EB8"/>
    <w:rsid w:val="00327575"/>
    <w:rsid w:val="00330987"/>
    <w:rsid w:val="00331746"/>
    <w:rsid w:val="003334AD"/>
    <w:rsid w:val="00333831"/>
    <w:rsid w:val="00333E1C"/>
    <w:rsid w:val="00341157"/>
    <w:rsid w:val="00345C98"/>
    <w:rsid w:val="003464B5"/>
    <w:rsid w:val="00347CE0"/>
    <w:rsid w:val="003505BA"/>
    <w:rsid w:val="003516BF"/>
    <w:rsid w:val="00361DC1"/>
    <w:rsid w:val="003622AE"/>
    <w:rsid w:val="003670DD"/>
    <w:rsid w:val="003704C0"/>
    <w:rsid w:val="00370825"/>
    <w:rsid w:val="0037492B"/>
    <w:rsid w:val="00375260"/>
    <w:rsid w:val="00376DCF"/>
    <w:rsid w:val="00376F72"/>
    <w:rsid w:val="00377BF7"/>
    <w:rsid w:val="003805AF"/>
    <w:rsid w:val="00380919"/>
    <w:rsid w:val="003837B6"/>
    <w:rsid w:val="00385B00"/>
    <w:rsid w:val="003921EE"/>
    <w:rsid w:val="00393D92"/>
    <w:rsid w:val="00394F99"/>
    <w:rsid w:val="00397329"/>
    <w:rsid w:val="003A66D2"/>
    <w:rsid w:val="003A6E41"/>
    <w:rsid w:val="003B18E7"/>
    <w:rsid w:val="003B3C74"/>
    <w:rsid w:val="003B3DA3"/>
    <w:rsid w:val="003B50F2"/>
    <w:rsid w:val="003B53F9"/>
    <w:rsid w:val="003B5F0A"/>
    <w:rsid w:val="003C0C73"/>
    <w:rsid w:val="003C2B3B"/>
    <w:rsid w:val="003C6DD9"/>
    <w:rsid w:val="003C6E9D"/>
    <w:rsid w:val="003D19C2"/>
    <w:rsid w:val="003D3E51"/>
    <w:rsid w:val="003E0DCA"/>
    <w:rsid w:val="003E1764"/>
    <w:rsid w:val="003F248E"/>
    <w:rsid w:val="003F767B"/>
    <w:rsid w:val="003F7CC2"/>
    <w:rsid w:val="004010EB"/>
    <w:rsid w:val="0040221B"/>
    <w:rsid w:val="00404F9D"/>
    <w:rsid w:val="00410E0C"/>
    <w:rsid w:val="00411D06"/>
    <w:rsid w:val="0041286B"/>
    <w:rsid w:val="00414B38"/>
    <w:rsid w:val="00423571"/>
    <w:rsid w:val="004268B8"/>
    <w:rsid w:val="00427A5B"/>
    <w:rsid w:val="00431197"/>
    <w:rsid w:val="00431C93"/>
    <w:rsid w:val="004453FE"/>
    <w:rsid w:val="0044716E"/>
    <w:rsid w:val="00451686"/>
    <w:rsid w:val="00451A4F"/>
    <w:rsid w:val="004551C0"/>
    <w:rsid w:val="00456AEC"/>
    <w:rsid w:val="00457934"/>
    <w:rsid w:val="00457A5D"/>
    <w:rsid w:val="004620C1"/>
    <w:rsid w:val="0046267C"/>
    <w:rsid w:val="00462B54"/>
    <w:rsid w:val="00466925"/>
    <w:rsid w:val="00466CA2"/>
    <w:rsid w:val="00482106"/>
    <w:rsid w:val="00483868"/>
    <w:rsid w:val="00487317"/>
    <w:rsid w:val="00490AF3"/>
    <w:rsid w:val="0049292D"/>
    <w:rsid w:val="00494222"/>
    <w:rsid w:val="00496945"/>
    <w:rsid w:val="00496CAE"/>
    <w:rsid w:val="004A051D"/>
    <w:rsid w:val="004A18D9"/>
    <w:rsid w:val="004A3E9F"/>
    <w:rsid w:val="004A5992"/>
    <w:rsid w:val="004B1DCE"/>
    <w:rsid w:val="004B3AAD"/>
    <w:rsid w:val="004B656C"/>
    <w:rsid w:val="004D11D2"/>
    <w:rsid w:val="004D3707"/>
    <w:rsid w:val="004D5AB1"/>
    <w:rsid w:val="004D6924"/>
    <w:rsid w:val="004E1076"/>
    <w:rsid w:val="004E1575"/>
    <w:rsid w:val="004E6BD8"/>
    <w:rsid w:val="004F0414"/>
    <w:rsid w:val="004F05BF"/>
    <w:rsid w:val="004F47ED"/>
    <w:rsid w:val="004F644B"/>
    <w:rsid w:val="0050160E"/>
    <w:rsid w:val="00504386"/>
    <w:rsid w:val="005075ED"/>
    <w:rsid w:val="00514149"/>
    <w:rsid w:val="005145C6"/>
    <w:rsid w:val="0051614A"/>
    <w:rsid w:val="00520923"/>
    <w:rsid w:val="005211EA"/>
    <w:rsid w:val="00523E86"/>
    <w:rsid w:val="0053091F"/>
    <w:rsid w:val="00532A78"/>
    <w:rsid w:val="005332E2"/>
    <w:rsid w:val="005337F5"/>
    <w:rsid w:val="005366F4"/>
    <w:rsid w:val="0054243B"/>
    <w:rsid w:val="00546776"/>
    <w:rsid w:val="00556302"/>
    <w:rsid w:val="005605B7"/>
    <w:rsid w:val="0056077B"/>
    <w:rsid w:val="00570422"/>
    <w:rsid w:val="00571C8E"/>
    <w:rsid w:val="00572256"/>
    <w:rsid w:val="005760E1"/>
    <w:rsid w:val="005771CC"/>
    <w:rsid w:val="00577B92"/>
    <w:rsid w:val="005800B9"/>
    <w:rsid w:val="005829D2"/>
    <w:rsid w:val="00582B20"/>
    <w:rsid w:val="0058678E"/>
    <w:rsid w:val="00587218"/>
    <w:rsid w:val="00587ED3"/>
    <w:rsid w:val="0059308F"/>
    <w:rsid w:val="005B1032"/>
    <w:rsid w:val="005B208F"/>
    <w:rsid w:val="005B3A24"/>
    <w:rsid w:val="005B7254"/>
    <w:rsid w:val="005C1139"/>
    <w:rsid w:val="005C3871"/>
    <w:rsid w:val="005C5B91"/>
    <w:rsid w:val="005C6E16"/>
    <w:rsid w:val="005D0DFE"/>
    <w:rsid w:val="005D1F9F"/>
    <w:rsid w:val="005D2A77"/>
    <w:rsid w:val="005D64A2"/>
    <w:rsid w:val="005E1428"/>
    <w:rsid w:val="005E44E1"/>
    <w:rsid w:val="005E463C"/>
    <w:rsid w:val="005E4B61"/>
    <w:rsid w:val="005F3218"/>
    <w:rsid w:val="005F44EB"/>
    <w:rsid w:val="005F7661"/>
    <w:rsid w:val="006023EA"/>
    <w:rsid w:val="0060426D"/>
    <w:rsid w:val="00605C41"/>
    <w:rsid w:val="00612D40"/>
    <w:rsid w:val="00616CCC"/>
    <w:rsid w:val="00620248"/>
    <w:rsid w:val="00620701"/>
    <w:rsid w:val="00621A29"/>
    <w:rsid w:val="00621E7E"/>
    <w:rsid w:val="00623315"/>
    <w:rsid w:val="00623F43"/>
    <w:rsid w:val="00624959"/>
    <w:rsid w:val="00626329"/>
    <w:rsid w:val="006338E2"/>
    <w:rsid w:val="00640951"/>
    <w:rsid w:val="00647C1B"/>
    <w:rsid w:val="006618AC"/>
    <w:rsid w:val="00663C6F"/>
    <w:rsid w:val="00665715"/>
    <w:rsid w:val="00666A71"/>
    <w:rsid w:val="00667228"/>
    <w:rsid w:val="00671FE4"/>
    <w:rsid w:val="00673EFD"/>
    <w:rsid w:val="00685265"/>
    <w:rsid w:val="00685820"/>
    <w:rsid w:val="00685AD3"/>
    <w:rsid w:val="00690412"/>
    <w:rsid w:val="00697DF9"/>
    <w:rsid w:val="006A4B66"/>
    <w:rsid w:val="006A4F54"/>
    <w:rsid w:val="006B33D8"/>
    <w:rsid w:val="006B33F6"/>
    <w:rsid w:val="006B399A"/>
    <w:rsid w:val="006B6542"/>
    <w:rsid w:val="006B7044"/>
    <w:rsid w:val="006C1387"/>
    <w:rsid w:val="006C17C2"/>
    <w:rsid w:val="006C4C9B"/>
    <w:rsid w:val="006D0328"/>
    <w:rsid w:val="006D136E"/>
    <w:rsid w:val="006D225C"/>
    <w:rsid w:val="006D64A5"/>
    <w:rsid w:val="006E0BA8"/>
    <w:rsid w:val="006E2C5D"/>
    <w:rsid w:val="006E394B"/>
    <w:rsid w:val="006E6F94"/>
    <w:rsid w:val="006E7703"/>
    <w:rsid w:val="006E7868"/>
    <w:rsid w:val="007028DB"/>
    <w:rsid w:val="0070349F"/>
    <w:rsid w:val="00703F8B"/>
    <w:rsid w:val="007042EB"/>
    <w:rsid w:val="007072FD"/>
    <w:rsid w:val="007111A3"/>
    <w:rsid w:val="00716D1D"/>
    <w:rsid w:val="00716DCD"/>
    <w:rsid w:val="007221A8"/>
    <w:rsid w:val="007232BD"/>
    <w:rsid w:val="00723899"/>
    <w:rsid w:val="00725073"/>
    <w:rsid w:val="00725768"/>
    <w:rsid w:val="00726C29"/>
    <w:rsid w:val="0073597F"/>
    <w:rsid w:val="00736697"/>
    <w:rsid w:val="00737AF0"/>
    <w:rsid w:val="007448FF"/>
    <w:rsid w:val="007455AD"/>
    <w:rsid w:val="00745C2E"/>
    <w:rsid w:val="00746F55"/>
    <w:rsid w:val="00751DD1"/>
    <w:rsid w:val="00755F3F"/>
    <w:rsid w:val="00766005"/>
    <w:rsid w:val="00766B67"/>
    <w:rsid w:val="00770E4A"/>
    <w:rsid w:val="00775F23"/>
    <w:rsid w:val="00777709"/>
    <w:rsid w:val="0078713D"/>
    <w:rsid w:val="007872F7"/>
    <w:rsid w:val="00790302"/>
    <w:rsid w:val="007926EE"/>
    <w:rsid w:val="00796249"/>
    <w:rsid w:val="00796C6B"/>
    <w:rsid w:val="007A203F"/>
    <w:rsid w:val="007A2451"/>
    <w:rsid w:val="007A25B1"/>
    <w:rsid w:val="007A27B8"/>
    <w:rsid w:val="007A3895"/>
    <w:rsid w:val="007A471A"/>
    <w:rsid w:val="007A79F5"/>
    <w:rsid w:val="007B0863"/>
    <w:rsid w:val="007B1C4F"/>
    <w:rsid w:val="007B2162"/>
    <w:rsid w:val="007B34A6"/>
    <w:rsid w:val="007B3A6A"/>
    <w:rsid w:val="007B56C5"/>
    <w:rsid w:val="007B6EAD"/>
    <w:rsid w:val="007C558D"/>
    <w:rsid w:val="007C7A70"/>
    <w:rsid w:val="007D3057"/>
    <w:rsid w:val="007D3BCA"/>
    <w:rsid w:val="007E375B"/>
    <w:rsid w:val="007E7BF1"/>
    <w:rsid w:val="007F198F"/>
    <w:rsid w:val="007F1EE2"/>
    <w:rsid w:val="007F52B2"/>
    <w:rsid w:val="007F7073"/>
    <w:rsid w:val="00800CA5"/>
    <w:rsid w:val="008020BC"/>
    <w:rsid w:val="0080370B"/>
    <w:rsid w:val="00805A7D"/>
    <w:rsid w:val="0080716A"/>
    <w:rsid w:val="00811A1C"/>
    <w:rsid w:val="00814193"/>
    <w:rsid w:val="00814BBF"/>
    <w:rsid w:val="00820256"/>
    <w:rsid w:val="008215FF"/>
    <w:rsid w:val="00832653"/>
    <w:rsid w:val="00833C86"/>
    <w:rsid w:val="008350E7"/>
    <w:rsid w:val="00837B9E"/>
    <w:rsid w:val="00840A9A"/>
    <w:rsid w:val="00844FFB"/>
    <w:rsid w:val="00850900"/>
    <w:rsid w:val="00854BD8"/>
    <w:rsid w:val="00855126"/>
    <w:rsid w:val="00857673"/>
    <w:rsid w:val="00863886"/>
    <w:rsid w:val="00864A61"/>
    <w:rsid w:val="00875F09"/>
    <w:rsid w:val="0088067C"/>
    <w:rsid w:val="00880E90"/>
    <w:rsid w:val="0088191B"/>
    <w:rsid w:val="008821E6"/>
    <w:rsid w:val="008860B3"/>
    <w:rsid w:val="008879DF"/>
    <w:rsid w:val="008923EC"/>
    <w:rsid w:val="00892C14"/>
    <w:rsid w:val="008A04CA"/>
    <w:rsid w:val="008A40B9"/>
    <w:rsid w:val="008A62B5"/>
    <w:rsid w:val="008B00DB"/>
    <w:rsid w:val="008B2022"/>
    <w:rsid w:val="008B5846"/>
    <w:rsid w:val="008B6FF7"/>
    <w:rsid w:val="008C36CF"/>
    <w:rsid w:val="008C5B01"/>
    <w:rsid w:val="008D10E2"/>
    <w:rsid w:val="008D36B7"/>
    <w:rsid w:val="008D55A1"/>
    <w:rsid w:val="008D617E"/>
    <w:rsid w:val="008E4C7F"/>
    <w:rsid w:val="008E68C7"/>
    <w:rsid w:val="008E6F1D"/>
    <w:rsid w:val="008F0D49"/>
    <w:rsid w:val="00901E26"/>
    <w:rsid w:val="009076BF"/>
    <w:rsid w:val="00910007"/>
    <w:rsid w:val="00914C21"/>
    <w:rsid w:val="00920A35"/>
    <w:rsid w:val="00921073"/>
    <w:rsid w:val="00921186"/>
    <w:rsid w:val="00923110"/>
    <w:rsid w:val="00926B8A"/>
    <w:rsid w:val="00927060"/>
    <w:rsid w:val="00927596"/>
    <w:rsid w:val="0093058B"/>
    <w:rsid w:val="009305DE"/>
    <w:rsid w:val="00933F08"/>
    <w:rsid w:val="0093439C"/>
    <w:rsid w:val="00945D4F"/>
    <w:rsid w:val="00950FAD"/>
    <w:rsid w:val="009524B7"/>
    <w:rsid w:val="0095522C"/>
    <w:rsid w:val="00956ACA"/>
    <w:rsid w:val="00956C72"/>
    <w:rsid w:val="00957FCA"/>
    <w:rsid w:val="00961A15"/>
    <w:rsid w:val="0096327B"/>
    <w:rsid w:val="00964B02"/>
    <w:rsid w:val="00964C55"/>
    <w:rsid w:val="0096616B"/>
    <w:rsid w:val="00972115"/>
    <w:rsid w:val="00975840"/>
    <w:rsid w:val="00976A66"/>
    <w:rsid w:val="00983124"/>
    <w:rsid w:val="009835E3"/>
    <w:rsid w:val="00983FC5"/>
    <w:rsid w:val="00984239"/>
    <w:rsid w:val="00990872"/>
    <w:rsid w:val="0099121F"/>
    <w:rsid w:val="00992752"/>
    <w:rsid w:val="009B38A9"/>
    <w:rsid w:val="009B4CEF"/>
    <w:rsid w:val="009B6B21"/>
    <w:rsid w:val="009B6CC6"/>
    <w:rsid w:val="009B76B3"/>
    <w:rsid w:val="009C1A63"/>
    <w:rsid w:val="009C365B"/>
    <w:rsid w:val="009C38F1"/>
    <w:rsid w:val="009C4DF1"/>
    <w:rsid w:val="009D1F73"/>
    <w:rsid w:val="009D2C56"/>
    <w:rsid w:val="009E17D9"/>
    <w:rsid w:val="009E4ED4"/>
    <w:rsid w:val="009E78D1"/>
    <w:rsid w:val="009F08FB"/>
    <w:rsid w:val="009F30C6"/>
    <w:rsid w:val="009F754B"/>
    <w:rsid w:val="009F7D87"/>
    <w:rsid w:val="00A016D9"/>
    <w:rsid w:val="00A016F4"/>
    <w:rsid w:val="00A01835"/>
    <w:rsid w:val="00A02772"/>
    <w:rsid w:val="00A0455E"/>
    <w:rsid w:val="00A100A1"/>
    <w:rsid w:val="00A102A2"/>
    <w:rsid w:val="00A1176D"/>
    <w:rsid w:val="00A154B9"/>
    <w:rsid w:val="00A15FE0"/>
    <w:rsid w:val="00A21D04"/>
    <w:rsid w:val="00A25956"/>
    <w:rsid w:val="00A27585"/>
    <w:rsid w:val="00A308AB"/>
    <w:rsid w:val="00A3454C"/>
    <w:rsid w:val="00A36DA4"/>
    <w:rsid w:val="00A42A44"/>
    <w:rsid w:val="00A437F5"/>
    <w:rsid w:val="00A45E5D"/>
    <w:rsid w:val="00A54ABE"/>
    <w:rsid w:val="00A5584F"/>
    <w:rsid w:val="00A56F58"/>
    <w:rsid w:val="00A60344"/>
    <w:rsid w:val="00A60861"/>
    <w:rsid w:val="00A64FF6"/>
    <w:rsid w:val="00A6735C"/>
    <w:rsid w:val="00A6748F"/>
    <w:rsid w:val="00A72E87"/>
    <w:rsid w:val="00A7318C"/>
    <w:rsid w:val="00A76A78"/>
    <w:rsid w:val="00A7768E"/>
    <w:rsid w:val="00A81AC9"/>
    <w:rsid w:val="00A86A5E"/>
    <w:rsid w:val="00A86AB6"/>
    <w:rsid w:val="00A92B49"/>
    <w:rsid w:val="00A9342D"/>
    <w:rsid w:val="00A962EC"/>
    <w:rsid w:val="00AA00BE"/>
    <w:rsid w:val="00AA0E07"/>
    <w:rsid w:val="00AA12A6"/>
    <w:rsid w:val="00AA4019"/>
    <w:rsid w:val="00AA69BD"/>
    <w:rsid w:val="00AA6B88"/>
    <w:rsid w:val="00AB6A2B"/>
    <w:rsid w:val="00AC1331"/>
    <w:rsid w:val="00AC2EF1"/>
    <w:rsid w:val="00AC6102"/>
    <w:rsid w:val="00AC617F"/>
    <w:rsid w:val="00AD21E5"/>
    <w:rsid w:val="00AD310E"/>
    <w:rsid w:val="00AD49CE"/>
    <w:rsid w:val="00AE5A60"/>
    <w:rsid w:val="00AE6884"/>
    <w:rsid w:val="00AF1739"/>
    <w:rsid w:val="00AF2057"/>
    <w:rsid w:val="00AF2C90"/>
    <w:rsid w:val="00AF4651"/>
    <w:rsid w:val="00B007CD"/>
    <w:rsid w:val="00B028DA"/>
    <w:rsid w:val="00B0305B"/>
    <w:rsid w:val="00B0388E"/>
    <w:rsid w:val="00B070C6"/>
    <w:rsid w:val="00B07346"/>
    <w:rsid w:val="00B11BCA"/>
    <w:rsid w:val="00B124A6"/>
    <w:rsid w:val="00B13937"/>
    <w:rsid w:val="00B20D46"/>
    <w:rsid w:val="00B20DF5"/>
    <w:rsid w:val="00B24366"/>
    <w:rsid w:val="00B25AB0"/>
    <w:rsid w:val="00B31310"/>
    <w:rsid w:val="00B318CA"/>
    <w:rsid w:val="00B34217"/>
    <w:rsid w:val="00B36304"/>
    <w:rsid w:val="00B36B3F"/>
    <w:rsid w:val="00B37D93"/>
    <w:rsid w:val="00B41FB0"/>
    <w:rsid w:val="00B42DDB"/>
    <w:rsid w:val="00B5235F"/>
    <w:rsid w:val="00B54F16"/>
    <w:rsid w:val="00B57161"/>
    <w:rsid w:val="00B62241"/>
    <w:rsid w:val="00B63B98"/>
    <w:rsid w:val="00B655E9"/>
    <w:rsid w:val="00B65EF9"/>
    <w:rsid w:val="00B7321D"/>
    <w:rsid w:val="00B73F58"/>
    <w:rsid w:val="00B75459"/>
    <w:rsid w:val="00B77EA8"/>
    <w:rsid w:val="00B805CF"/>
    <w:rsid w:val="00B80720"/>
    <w:rsid w:val="00B82A7E"/>
    <w:rsid w:val="00B83782"/>
    <w:rsid w:val="00B83E76"/>
    <w:rsid w:val="00BA1033"/>
    <w:rsid w:val="00BA42A0"/>
    <w:rsid w:val="00BA496B"/>
    <w:rsid w:val="00BA4CDF"/>
    <w:rsid w:val="00BA5540"/>
    <w:rsid w:val="00BA694F"/>
    <w:rsid w:val="00BA6C3E"/>
    <w:rsid w:val="00BA706B"/>
    <w:rsid w:val="00BA7C5F"/>
    <w:rsid w:val="00BB39E8"/>
    <w:rsid w:val="00BC38A0"/>
    <w:rsid w:val="00BC7A14"/>
    <w:rsid w:val="00BD294A"/>
    <w:rsid w:val="00BD3DAE"/>
    <w:rsid w:val="00BD77B4"/>
    <w:rsid w:val="00BE13C8"/>
    <w:rsid w:val="00BF0F52"/>
    <w:rsid w:val="00BF2759"/>
    <w:rsid w:val="00BF2D65"/>
    <w:rsid w:val="00BF7A26"/>
    <w:rsid w:val="00C01AED"/>
    <w:rsid w:val="00C02AA9"/>
    <w:rsid w:val="00C0337C"/>
    <w:rsid w:val="00C0498A"/>
    <w:rsid w:val="00C0716F"/>
    <w:rsid w:val="00C1701C"/>
    <w:rsid w:val="00C17860"/>
    <w:rsid w:val="00C22C96"/>
    <w:rsid w:val="00C307EB"/>
    <w:rsid w:val="00C318E3"/>
    <w:rsid w:val="00C32C08"/>
    <w:rsid w:val="00C36801"/>
    <w:rsid w:val="00C36A03"/>
    <w:rsid w:val="00C4125E"/>
    <w:rsid w:val="00C413EA"/>
    <w:rsid w:val="00C413FF"/>
    <w:rsid w:val="00C42657"/>
    <w:rsid w:val="00C44C7B"/>
    <w:rsid w:val="00C50C82"/>
    <w:rsid w:val="00C52265"/>
    <w:rsid w:val="00C53208"/>
    <w:rsid w:val="00C6277E"/>
    <w:rsid w:val="00C64D81"/>
    <w:rsid w:val="00C7380F"/>
    <w:rsid w:val="00C73E09"/>
    <w:rsid w:val="00C7425C"/>
    <w:rsid w:val="00C744FC"/>
    <w:rsid w:val="00C74C5A"/>
    <w:rsid w:val="00C75060"/>
    <w:rsid w:val="00C7603B"/>
    <w:rsid w:val="00C8084A"/>
    <w:rsid w:val="00C840FF"/>
    <w:rsid w:val="00C8444D"/>
    <w:rsid w:val="00C84516"/>
    <w:rsid w:val="00C90B91"/>
    <w:rsid w:val="00C92600"/>
    <w:rsid w:val="00C92F47"/>
    <w:rsid w:val="00C96918"/>
    <w:rsid w:val="00C975FF"/>
    <w:rsid w:val="00CA4E76"/>
    <w:rsid w:val="00CB03CE"/>
    <w:rsid w:val="00CB0BA6"/>
    <w:rsid w:val="00CB525E"/>
    <w:rsid w:val="00CB55E5"/>
    <w:rsid w:val="00CC2498"/>
    <w:rsid w:val="00CC37C8"/>
    <w:rsid w:val="00CC6485"/>
    <w:rsid w:val="00CD0F2F"/>
    <w:rsid w:val="00CD0FA7"/>
    <w:rsid w:val="00CD10BF"/>
    <w:rsid w:val="00CD138B"/>
    <w:rsid w:val="00CD4DD7"/>
    <w:rsid w:val="00CE3164"/>
    <w:rsid w:val="00CE4AB5"/>
    <w:rsid w:val="00CE77A7"/>
    <w:rsid w:val="00CF181E"/>
    <w:rsid w:val="00CF6256"/>
    <w:rsid w:val="00CF6495"/>
    <w:rsid w:val="00D02628"/>
    <w:rsid w:val="00D035B5"/>
    <w:rsid w:val="00D04B1A"/>
    <w:rsid w:val="00D05389"/>
    <w:rsid w:val="00D06516"/>
    <w:rsid w:val="00D107FD"/>
    <w:rsid w:val="00D12BA2"/>
    <w:rsid w:val="00D15A08"/>
    <w:rsid w:val="00D15B44"/>
    <w:rsid w:val="00D175DB"/>
    <w:rsid w:val="00D17D71"/>
    <w:rsid w:val="00D20B99"/>
    <w:rsid w:val="00D20EEB"/>
    <w:rsid w:val="00D21241"/>
    <w:rsid w:val="00D232D1"/>
    <w:rsid w:val="00D264A2"/>
    <w:rsid w:val="00D2690B"/>
    <w:rsid w:val="00D304C9"/>
    <w:rsid w:val="00D35340"/>
    <w:rsid w:val="00D37488"/>
    <w:rsid w:val="00D42950"/>
    <w:rsid w:val="00D4318C"/>
    <w:rsid w:val="00D43CE3"/>
    <w:rsid w:val="00D45C69"/>
    <w:rsid w:val="00D63604"/>
    <w:rsid w:val="00D638A6"/>
    <w:rsid w:val="00D63D87"/>
    <w:rsid w:val="00D67ECD"/>
    <w:rsid w:val="00D7287B"/>
    <w:rsid w:val="00D73A0F"/>
    <w:rsid w:val="00D74432"/>
    <w:rsid w:val="00D759E0"/>
    <w:rsid w:val="00D76D7C"/>
    <w:rsid w:val="00D819E7"/>
    <w:rsid w:val="00D8642D"/>
    <w:rsid w:val="00D9041C"/>
    <w:rsid w:val="00D908E2"/>
    <w:rsid w:val="00D93E98"/>
    <w:rsid w:val="00D956CC"/>
    <w:rsid w:val="00D9746E"/>
    <w:rsid w:val="00DA234D"/>
    <w:rsid w:val="00DA26AE"/>
    <w:rsid w:val="00DA3E94"/>
    <w:rsid w:val="00DA46CB"/>
    <w:rsid w:val="00DA5EA7"/>
    <w:rsid w:val="00DB6DAD"/>
    <w:rsid w:val="00DB76B4"/>
    <w:rsid w:val="00DC10A0"/>
    <w:rsid w:val="00DC6946"/>
    <w:rsid w:val="00DC7629"/>
    <w:rsid w:val="00DD5B97"/>
    <w:rsid w:val="00DD5C19"/>
    <w:rsid w:val="00DD628B"/>
    <w:rsid w:val="00DD62DA"/>
    <w:rsid w:val="00DE33C8"/>
    <w:rsid w:val="00DE533D"/>
    <w:rsid w:val="00DE69CC"/>
    <w:rsid w:val="00DE6A74"/>
    <w:rsid w:val="00DE6C08"/>
    <w:rsid w:val="00DE6E14"/>
    <w:rsid w:val="00DE7404"/>
    <w:rsid w:val="00DE7A12"/>
    <w:rsid w:val="00DF0B92"/>
    <w:rsid w:val="00DF0E39"/>
    <w:rsid w:val="00DF1FFE"/>
    <w:rsid w:val="00DF3AB5"/>
    <w:rsid w:val="00DF47E6"/>
    <w:rsid w:val="00DF6C1D"/>
    <w:rsid w:val="00E0195E"/>
    <w:rsid w:val="00E05475"/>
    <w:rsid w:val="00E06440"/>
    <w:rsid w:val="00E1073E"/>
    <w:rsid w:val="00E21379"/>
    <w:rsid w:val="00E26A6C"/>
    <w:rsid w:val="00E27957"/>
    <w:rsid w:val="00E30ACD"/>
    <w:rsid w:val="00E3182F"/>
    <w:rsid w:val="00E32CC1"/>
    <w:rsid w:val="00E34167"/>
    <w:rsid w:val="00E47071"/>
    <w:rsid w:val="00E47474"/>
    <w:rsid w:val="00E63D13"/>
    <w:rsid w:val="00E63E80"/>
    <w:rsid w:val="00E648CE"/>
    <w:rsid w:val="00E714EF"/>
    <w:rsid w:val="00E73EB3"/>
    <w:rsid w:val="00E842B8"/>
    <w:rsid w:val="00E93F0F"/>
    <w:rsid w:val="00E971EC"/>
    <w:rsid w:val="00E9736E"/>
    <w:rsid w:val="00EA2571"/>
    <w:rsid w:val="00EA2E8E"/>
    <w:rsid w:val="00EA3FD1"/>
    <w:rsid w:val="00EA589E"/>
    <w:rsid w:val="00EA69C0"/>
    <w:rsid w:val="00EB4316"/>
    <w:rsid w:val="00EB5C4F"/>
    <w:rsid w:val="00EB6786"/>
    <w:rsid w:val="00EB6840"/>
    <w:rsid w:val="00EB77B8"/>
    <w:rsid w:val="00EC08BB"/>
    <w:rsid w:val="00EC19D1"/>
    <w:rsid w:val="00EC324C"/>
    <w:rsid w:val="00EC765A"/>
    <w:rsid w:val="00ED17D0"/>
    <w:rsid w:val="00EE03D4"/>
    <w:rsid w:val="00EE1F77"/>
    <w:rsid w:val="00EE4679"/>
    <w:rsid w:val="00EE56E6"/>
    <w:rsid w:val="00EF06C8"/>
    <w:rsid w:val="00EF3A2F"/>
    <w:rsid w:val="00EF4C07"/>
    <w:rsid w:val="00EF5C4E"/>
    <w:rsid w:val="00EF6780"/>
    <w:rsid w:val="00F01B1B"/>
    <w:rsid w:val="00F07E61"/>
    <w:rsid w:val="00F1430E"/>
    <w:rsid w:val="00F145AB"/>
    <w:rsid w:val="00F15CB1"/>
    <w:rsid w:val="00F16F3B"/>
    <w:rsid w:val="00F179BC"/>
    <w:rsid w:val="00F208EC"/>
    <w:rsid w:val="00F20A83"/>
    <w:rsid w:val="00F22A61"/>
    <w:rsid w:val="00F250C9"/>
    <w:rsid w:val="00F271C9"/>
    <w:rsid w:val="00F31185"/>
    <w:rsid w:val="00F32597"/>
    <w:rsid w:val="00F3334F"/>
    <w:rsid w:val="00F344C3"/>
    <w:rsid w:val="00F42DB2"/>
    <w:rsid w:val="00F4325D"/>
    <w:rsid w:val="00F439EB"/>
    <w:rsid w:val="00F464A1"/>
    <w:rsid w:val="00F505D3"/>
    <w:rsid w:val="00F508FB"/>
    <w:rsid w:val="00F551BC"/>
    <w:rsid w:val="00F62BA4"/>
    <w:rsid w:val="00F66D1A"/>
    <w:rsid w:val="00F67DDC"/>
    <w:rsid w:val="00F77AB4"/>
    <w:rsid w:val="00F8239A"/>
    <w:rsid w:val="00F82E96"/>
    <w:rsid w:val="00F926DB"/>
    <w:rsid w:val="00F949AD"/>
    <w:rsid w:val="00FA176D"/>
    <w:rsid w:val="00FA448D"/>
    <w:rsid w:val="00FB2B43"/>
    <w:rsid w:val="00FB5149"/>
    <w:rsid w:val="00FB74C5"/>
    <w:rsid w:val="00FC4122"/>
    <w:rsid w:val="00FC4127"/>
    <w:rsid w:val="00FC5C0B"/>
    <w:rsid w:val="00FC63AF"/>
    <w:rsid w:val="00FC7303"/>
    <w:rsid w:val="00FD174F"/>
    <w:rsid w:val="00FD7697"/>
    <w:rsid w:val="00FE1D43"/>
    <w:rsid w:val="00FE2637"/>
    <w:rsid w:val="00FE29DD"/>
    <w:rsid w:val="00FE3CF3"/>
    <w:rsid w:val="00FE77E7"/>
    <w:rsid w:val="00FF28D3"/>
    <w:rsid w:val="00FF60F3"/>
    <w:rsid w:val="00FF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76E7"/>
  <w15:chartTrackingRefBased/>
  <w15:docId w15:val="{BAF8326C-771C-4165-8550-ECBC1273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0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2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F2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48E"/>
    <w:rPr>
      <w:sz w:val="20"/>
      <w:szCs w:val="20"/>
    </w:rPr>
  </w:style>
  <w:style w:type="character" w:styleId="FootnoteReference">
    <w:name w:val="footnote reference"/>
    <w:basedOn w:val="DefaultParagraphFont"/>
    <w:uiPriority w:val="99"/>
    <w:semiHidden/>
    <w:unhideWhenUsed/>
    <w:rsid w:val="003F248E"/>
    <w:rPr>
      <w:vertAlign w:val="superscript"/>
    </w:rPr>
  </w:style>
  <w:style w:type="character" w:styleId="Hyperlink">
    <w:name w:val="Hyperlink"/>
    <w:basedOn w:val="DefaultParagraphFont"/>
    <w:uiPriority w:val="99"/>
    <w:unhideWhenUsed/>
    <w:rsid w:val="001535BF"/>
    <w:rPr>
      <w:color w:val="0563C1" w:themeColor="hyperlink"/>
      <w:u w:val="single"/>
    </w:rPr>
  </w:style>
  <w:style w:type="character" w:customStyle="1" w:styleId="apple-converted-space">
    <w:name w:val="apple-converted-space"/>
    <w:basedOn w:val="DefaultParagraphFont"/>
    <w:rsid w:val="00C307EB"/>
  </w:style>
  <w:style w:type="character" w:styleId="FollowedHyperlink">
    <w:name w:val="FollowedHyperlink"/>
    <w:basedOn w:val="DefaultParagraphFont"/>
    <w:uiPriority w:val="99"/>
    <w:semiHidden/>
    <w:unhideWhenUsed/>
    <w:rsid w:val="00D43CE3"/>
    <w:rPr>
      <w:color w:val="954F72" w:themeColor="followedHyperlink"/>
      <w:u w:val="single"/>
    </w:rPr>
  </w:style>
  <w:style w:type="character" w:customStyle="1" w:styleId="Heading3Char">
    <w:name w:val="Heading 3 Char"/>
    <w:basedOn w:val="DefaultParagraphFont"/>
    <w:link w:val="Heading3"/>
    <w:uiPriority w:val="9"/>
    <w:semiHidden/>
    <w:rsid w:val="00D12BA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E107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11A1C"/>
    <w:rPr>
      <w:color w:val="808080"/>
      <w:shd w:val="clear" w:color="auto" w:fill="E6E6E6"/>
    </w:rPr>
  </w:style>
  <w:style w:type="paragraph" w:styleId="Header">
    <w:name w:val="header"/>
    <w:basedOn w:val="Normal"/>
    <w:link w:val="HeaderChar"/>
    <w:uiPriority w:val="99"/>
    <w:unhideWhenUsed/>
    <w:rsid w:val="00256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C9A"/>
  </w:style>
  <w:style w:type="paragraph" w:styleId="Footer">
    <w:name w:val="footer"/>
    <w:basedOn w:val="Normal"/>
    <w:link w:val="FooterChar"/>
    <w:uiPriority w:val="99"/>
    <w:unhideWhenUsed/>
    <w:rsid w:val="00256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9678">
      <w:bodyDiv w:val="1"/>
      <w:marLeft w:val="0"/>
      <w:marRight w:val="0"/>
      <w:marTop w:val="0"/>
      <w:marBottom w:val="0"/>
      <w:divBdr>
        <w:top w:val="none" w:sz="0" w:space="0" w:color="auto"/>
        <w:left w:val="none" w:sz="0" w:space="0" w:color="auto"/>
        <w:bottom w:val="none" w:sz="0" w:space="0" w:color="auto"/>
        <w:right w:val="none" w:sz="0" w:space="0" w:color="auto"/>
      </w:divBdr>
    </w:div>
    <w:div w:id="1046610021">
      <w:bodyDiv w:val="1"/>
      <w:marLeft w:val="0"/>
      <w:marRight w:val="0"/>
      <w:marTop w:val="0"/>
      <w:marBottom w:val="0"/>
      <w:divBdr>
        <w:top w:val="none" w:sz="0" w:space="0" w:color="auto"/>
        <w:left w:val="none" w:sz="0" w:space="0" w:color="auto"/>
        <w:bottom w:val="none" w:sz="0" w:space="0" w:color="auto"/>
        <w:right w:val="none" w:sz="0" w:space="0" w:color="auto"/>
      </w:divBdr>
    </w:div>
    <w:div w:id="145767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hicn.org/wordpress/wp-content/uploads/2012/06/HiCN-WP-1671.pdf" TargetMode="External"/><Relationship Id="rId13" Type="http://schemas.openxmlformats.org/officeDocument/2006/relationships/hyperlink" Target="https://issafrica.s3.amazonaws.com/site/uploads/17NO2BOOKS.PDF" TargetMode="External"/><Relationship Id="rId18" Type="http://schemas.openxmlformats.org/officeDocument/2006/relationships/hyperlink" Target="http://cega.berkeley.edu/assets/miscellaneous_files/wgape/19_Lidow.pdf" TargetMode="External"/><Relationship Id="rId3" Type="http://schemas.openxmlformats.org/officeDocument/2006/relationships/hyperlink" Target="http://pages.vassar.edu/mampilly/files/2013/11/Mampilly-Dissertation-Final.pdf" TargetMode="External"/><Relationship Id="rId7" Type="http://schemas.openxmlformats.org/officeDocument/2006/relationships/hyperlink" Target="http://www.bbc.com/news/world-africa-13087604" TargetMode="External"/><Relationship Id="rId12" Type="http://schemas.openxmlformats.org/officeDocument/2006/relationships/hyperlink" Target="http://www.sirclund.se/Conference%20report%202007.pdf" TargetMode="External"/><Relationship Id="rId17" Type="http://schemas.openxmlformats.org/officeDocument/2006/relationships/hyperlink" Target="https://www.chathamhouse.org/sites/files/chathamhouse/public/Research/Africa/brabazon_bp.pdf" TargetMode="External"/><Relationship Id="rId2" Type="http://schemas.openxmlformats.org/officeDocument/2006/relationships/hyperlink" Target="http://pages.vassar.edu/mampilly/files/2013/11/Mampilly-Dissertation-Final.pdf" TargetMode="External"/><Relationship Id="rId16" Type="http://schemas.openxmlformats.org/officeDocument/2006/relationships/hyperlink" Target="http://ddc.aub.edu.lb/projects/pspa/conflict-resolution.html" TargetMode="External"/><Relationship Id="rId1" Type="http://schemas.openxmlformats.org/officeDocument/2006/relationships/hyperlink" Target="http://pages.vassar.edu/mampilly/files/2013/11/Mampilly-Dissertation-Final.pdf" TargetMode="External"/><Relationship Id="rId6" Type="http://schemas.openxmlformats.org/officeDocument/2006/relationships/hyperlink" Target="http://pages.vassar.edu/mampilly/files/2013/11/Mampilly-Dissertation-Final.pdf" TargetMode="External"/><Relationship Id="rId11" Type="http://schemas.openxmlformats.org/officeDocument/2006/relationships/hyperlink" Target="https://repositories.lib.utexas.edu/bitstream/handle/2152/5396/2248.pdf?sequence=1" TargetMode="External"/><Relationship Id="rId5" Type="http://schemas.openxmlformats.org/officeDocument/2006/relationships/hyperlink" Target="http://pages.vassar.edu/mampilly/files/2013/11/Mampilly-Dissertation-Final.pdf" TargetMode="External"/><Relationship Id="rId15" Type="http://schemas.openxmlformats.org/officeDocument/2006/relationships/hyperlink" Target="http://spectrum.library.concordia.ca/980687/1/Speight_PhD_S2016.pdf" TargetMode="External"/><Relationship Id="rId10" Type="http://schemas.openxmlformats.org/officeDocument/2006/relationships/hyperlink" Target="http://www.ucdp.uu.se/" TargetMode="External"/><Relationship Id="rId19" Type="http://schemas.openxmlformats.org/officeDocument/2006/relationships/hyperlink" Target="https://permanent.access.gpo.gov/lps12312/carlisle-www.army.mil/usassi/ssipubs/pubs98/tuareg/tuareg.pdf" TargetMode="External"/><Relationship Id="rId4" Type="http://schemas.openxmlformats.org/officeDocument/2006/relationships/hyperlink" Target="http://pages.vassar.edu/mampilly/files/2013/11/Mampilly-Dissertation-Final.pdf" TargetMode="External"/><Relationship Id="rId9" Type="http://schemas.openxmlformats.org/officeDocument/2006/relationships/hyperlink" Target="http://www.ucdp.uu.se/" TargetMode="External"/><Relationship Id="rId14" Type="http://schemas.openxmlformats.org/officeDocument/2006/relationships/hyperlink" Target="http://www.eastwestcenter.org/system/tdf/private/PS002.pdf?file=1&amp;type=node&amp;id=31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1C601-052B-4C01-971B-0EC39F34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68</Pages>
  <Words>23341</Words>
  <Characters>133046</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adam.knight87@gmail.com</dc:creator>
  <cp:keywords/>
  <dc:description/>
  <cp:lastModifiedBy>Adam Knight</cp:lastModifiedBy>
  <cp:revision>5</cp:revision>
  <dcterms:created xsi:type="dcterms:W3CDTF">2020-02-16T19:30:00Z</dcterms:created>
  <dcterms:modified xsi:type="dcterms:W3CDTF">2020-02-16T19:55:00Z</dcterms:modified>
</cp:coreProperties>
</file>