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93924" w14:textId="77777777" w:rsidR="009F57DF" w:rsidRDefault="009F57DF">
      <w:pPr>
        <w:rPr>
          <w:rFonts w:ascii="Times New Roman" w:hAnsi="Times New Roman" w:cs="Times New Roman"/>
          <w:b/>
          <w:sz w:val="24"/>
          <w:szCs w:val="24"/>
        </w:rPr>
      </w:pPr>
      <w:r>
        <w:rPr>
          <w:rFonts w:ascii="Times New Roman" w:hAnsi="Times New Roman" w:cs="Times New Roman"/>
          <w:b/>
          <w:sz w:val="24"/>
          <w:szCs w:val="24"/>
        </w:rPr>
        <w:t>Burundi (1972)</w:t>
      </w:r>
    </w:p>
    <w:p w14:paraId="66B1F2CB"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t xml:space="preserve">Rebels / Incumbents: </w:t>
      </w:r>
      <w:r w:rsidR="003558B6">
        <w:rPr>
          <w:rFonts w:ascii="Times New Roman" w:hAnsi="Times New Roman" w:cs="Times New Roman"/>
          <w:sz w:val="24"/>
          <w:szCs w:val="24"/>
        </w:rPr>
        <w:t xml:space="preserve">Hutu militias, </w:t>
      </w:r>
      <w:proofErr w:type="spellStart"/>
      <w:r w:rsidR="003558B6">
        <w:rPr>
          <w:rFonts w:ascii="Times New Roman" w:hAnsi="Times New Roman" w:cs="Times New Roman"/>
          <w:sz w:val="24"/>
          <w:szCs w:val="24"/>
        </w:rPr>
        <w:t>Martyazo</w:t>
      </w:r>
      <w:proofErr w:type="spellEnd"/>
      <w:r w:rsidR="003558B6">
        <w:rPr>
          <w:rFonts w:ascii="Times New Roman" w:hAnsi="Times New Roman" w:cs="Times New Roman"/>
          <w:sz w:val="24"/>
          <w:szCs w:val="24"/>
        </w:rPr>
        <w:t xml:space="preserve"> / Burundi, Tutsi militias</w:t>
      </w:r>
    </w:p>
    <w:p w14:paraId="53BC31FB" w14:textId="77777777"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337EF1">
        <w:rPr>
          <w:rFonts w:ascii="Times New Roman" w:hAnsi="Times New Roman" w:cs="Times New Roman"/>
          <w:b/>
          <w:sz w:val="24"/>
          <w:szCs w:val="24"/>
        </w:rPr>
        <w:t>1</w:t>
      </w:r>
      <w:r w:rsidRPr="00F62BA4">
        <w:rPr>
          <w:rFonts w:ascii="Times New Roman" w:hAnsi="Times New Roman" w:cs="Times New Roman"/>
          <w:b/>
          <w:sz w:val="24"/>
          <w:szCs w:val="24"/>
        </w:rPr>
        <w:t xml:space="preserve">; Public Goods: </w:t>
      </w:r>
      <w:r w:rsidR="00337EF1">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337EF1">
        <w:rPr>
          <w:rFonts w:ascii="Times New Roman" w:hAnsi="Times New Roman" w:cs="Times New Roman"/>
          <w:b/>
          <w:sz w:val="24"/>
          <w:szCs w:val="24"/>
        </w:rPr>
        <w:t xml:space="preserve"> 0</w:t>
      </w:r>
    </w:p>
    <w:p w14:paraId="75D65B06" w14:textId="77777777" w:rsidR="00EC7319" w:rsidRDefault="003558B6">
      <w:pPr>
        <w:rPr>
          <w:rFonts w:ascii="Times New Roman" w:hAnsi="Times New Roman" w:cs="Times New Roman"/>
          <w:sz w:val="24"/>
          <w:szCs w:val="24"/>
        </w:rPr>
      </w:pPr>
      <w:r>
        <w:rPr>
          <w:rFonts w:ascii="Times New Roman" w:hAnsi="Times New Roman" w:cs="Times New Roman"/>
          <w:sz w:val="24"/>
          <w:szCs w:val="24"/>
        </w:rPr>
        <w:tab/>
        <w:t xml:space="preserve">Most mentions of Burundi in 1972 do not call </w:t>
      </w:r>
      <w:r w:rsidR="009A1B44">
        <w:rPr>
          <w:rFonts w:ascii="Times New Roman" w:hAnsi="Times New Roman" w:cs="Times New Roman"/>
          <w:sz w:val="24"/>
          <w:szCs w:val="24"/>
        </w:rPr>
        <w:t>the conflict</w:t>
      </w:r>
      <w:r>
        <w:rPr>
          <w:rFonts w:ascii="Times New Roman" w:hAnsi="Times New Roman" w:cs="Times New Roman"/>
          <w:sz w:val="24"/>
          <w:szCs w:val="24"/>
        </w:rPr>
        <w:t xml:space="preserve"> a civil war. Most describe it as one of various forms of one-sided violence—massacre, genocide, or the like.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E06FAB">
        <w:rPr>
          <w:rFonts w:ascii="Times New Roman" w:hAnsi="Times New Roman" w:cs="Times New Roman"/>
          <w:sz w:val="24"/>
          <w:szCs w:val="24"/>
        </w:rPr>
        <w:t xml:space="preserve">It began as a brief Hutu independence movement. In response to the violence committed by this movement, the incumbent government responded </w:t>
      </w:r>
      <w:r w:rsidR="00C81280">
        <w:rPr>
          <w:rFonts w:ascii="Times New Roman" w:hAnsi="Times New Roman" w:cs="Times New Roman"/>
          <w:sz w:val="24"/>
          <w:szCs w:val="24"/>
        </w:rPr>
        <w:t>with a campaign of anti-Hutu reprisals committed by Tutsi soldiers</w:t>
      </w:r>
      <w:r w:rsidR="00E06FAB">
        <w:rPr>
          <w:rFonts w:ascii="Times New Roman" w:hAnsi="Times New Roman" w:cs="Times New Roman"/>
          <w:sz w:val="24"/>
          <w:szCs w:val="24"/>
        </w:rPr>
        <w:t>. After other African governments intervened (most notably Zaire, although Tanzania also sent materiel),</w:t>
      </w:r>
      <w:r w:rsidR="00C81280">
        <w:rPr>
          <w:rFonts w:ascii="Times New Roman" w:hAnsi="Times New Roman" w:cs="Times New Roman"/>
          <w:sz w:val="24"/>
          <w:szCs w:val="24"/>
        </w:rPr>
        <w:t xml:space="preserve"> the violence died down</w:t>
      </w:r>
      <w:r w:rsidR="00E06FAB">
        <w:rPr>
          <w:rFonts w:ascii="Times New Roman" w:hAnsi="Times New Roman" w:cs="Times New Roman"/>
          <w:sz w:val="24"/>
          <w:szCs w:val="24"/>
        </w:rPr>
        <w:t>.</w:t>
      </w:r>
      <w:r w:rsidR="00E06FAB">
        <w:rPr>
          <w:rStyle w:val="FootnoteReference"/>
          <w:rFonts w:ascii="Times New Roman" w:hAnsi="Times New Roman" w:cs="Times New Roman"/>
          <w:sz w:val="24"/>
          <w:szCs w:val="24"/>
        </w:rPr>
        <w:footnoteReference w:id="2"/>
      </w:r>
    </w:p>
    <w:p w14:paraId="3B6EE426" w14:textId="77777777" w:rsidR="00546471" w:rsidRDefault="00546471">
      <w:pPr>
        <w:rPr>
          <w:rFonts w:ascii="Times New Roman" w:hAnsi="Times New Roman" w:cs="Times New Roman"/>
          <w:sz w:val="24"/>
          <w:szCs w:val="24"/>
        </w:rPr>
      </w:pPr>
      <w:r>
        <w:rPr>
          <w:rFonts w:ascii="Times New Roman" w:hAnsi="Times New Roman" w:cs="Times New Roman"/>
          <w:sz w:val="24"/>
          <w:szCs w:val="24"/>
        </w:rPr>
        <w:tab/>
        <w:t>The violence seems to stem from old colonial wounds. The territory was initially colonized by Germany in the 19</w:t>
      </w:r>
      <w:r w:rsidRPr="00546471">
        <w:rPr>
          <w:rFonts w:ascii="Times New Roman" w:hAnsi="Times New Roman" w:cs="Times New Roman"/>
          <w:sz w:val="24"/>
          <w:szCs w:val="24"/>
          <w:vertAlign w:val="superscript"/>
        </w:rPr>
        <w:t>th</w:t>
      </w:r>
      <w:r>
        <w:rPr>
          <w:rFonts w:ascii="Times New Roman" w:hAnsi="Times New Roman" w:cs="Times New Roman"/>
          <w:sz w:val="24"/>
          <w:szCs w:val="24"/>
        </w:rPr>
        <w:t xml:space="preserve"> Century but was conquered by Belgium in WWI. Until the country won its independence in 1962, Burundi’s Belgian colonial masters ruled through Tutsi proxies.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governmental hierarchy between Hutu and Tutsi survived into post-independence Burundi, despite the overwhelming numerical majority (roughly 80%) enjoyed by Hutus.</w:t>
      </w:r>
      <w:r>
        <w:rPr>
          <w:rStyle w:val="FootnoteReference"/>
          <w:rFonts w:ascii="Times New Roman" w:hAnsi="Times New Roman" w:cs="Times New Roman"/>
          <w:sz w:val="24"/>
          <w:szCs w:val="24"/>
        </w:rPr>
        <w:footnoteReference w:id="4"/>
      </w:r>
    </w:p>
    <w:p w14:paraId="28336018" w14:textId="77777777" w:rsidR="00A963F6" w:rsidRPr="00546471" w:rsidRDefault="00DE02E1" w:rsidP="00A963F6">
      <w:pPr>
        <w:rPr>
          <w:rFonts w:ascii="Times New Roman" w:hAnsi="Times New Roman" w:cs="Times New Roman"/>
          <w:sz w:val="24"/>
          <w:szCs w:val="24"/>
        </w:rPr>
      </w:pPr>
      <w:r>
        <w:rPr>
          <w:rFonts w:ascii="Times New Roman" w:hAnsi="Times New Roman" w:cs="Times New Roman"/>
          <w:sz w:val="24"/>
          <w:szCs w:val="24"/>
        </w:rPr>
        <w:tab/>
        <w:t xml:space="preserve">The Hutu independence movement culminated in the declaration of the new independent state of </w:t>
      </w:r>
      <w:proofErr w:type="spellStart"/>
      <w:r w:rsidR="00AA0429">
        <w:rPr>
          <w:rFonts w:ascii="Times New Roman" w:hAnsi="Times New Roman" w:cs="Times New Roman"/>
          <w:sz w:val="24"/>
          <w:szCs w:val="24"/>
        </w:rPr>
        <w:t>Martyazo</w:t>
      </w:r>
      <w:proofErr w:type="spellEnd"/>
      <w:r>
        <w:rPr>
          <w:rFonts w:ascii="Times New Roman" w:hAnsi="Times New Roman" w:cs="Times New Roman"/>
          <w:sz w:val="24"/>
          <w:szCs w:val="24"/>
        </w:rPr>
        <w:t>. The country was short-lived and perilously short of administrative capability.</w:t>
      </w:r>
      <w:r>
        <w:rPr>
          <w:rStyle w:val="FootnoteReference"/>
          <w:rFonts w:ascii="Times New Roman" w:hAnsi="Times New Roman" w:cs="Times New Roman"/>
          <w:sz w:val="24"/>
          <w:szCs w:val="24"/>
        </w:rPr>
        <w:footnoteReference w:id="5"/>
      </w:r>
      <w:r w:rsidR="00337EF1">
        <w:rPr>
          <w:rFonts w:ascii="Times New Roman" w:hAnsi="Times New Roman" w:cs="Times New Roman"/>
          <w:sz w:val="24"/>
          <w:szCs w:val="24"/>
        </w:rPr>
        <w:t xml:space="preserve"> They quickly set up road blocks to mark out their territory and set about killing enemies (real or perceived) of the would-be state. Although they had indeed established something like rule in this territory, one should not mistake it for much more than control, even when one considers the tribunals the rebels had set up. Aiden Russell points out the similarity between the unfettered violence brought to bear by rebels and government to underscore the damage it did to Burundian society and to suggest that </w:t>
      </w:r>
      <w:r w:rsidR="00546471">
        <w:rPr>
          <w:rFonts w:ascii="Times New Roman" w:hAnsi="Times New Roman" w:cs="Times New Roman"/>
          <w:sz w:val="24"/>
          <w:szCs w:val="24"/>
        </w:rPr>
        <w:t>the violence contributed to further violence in the later civil wars.</w:t>
      </w:r>
      <w:r w:rsidR="00546471">
        <w:rPr>
          <w:rStyle w:val="FootnoteReference"/>
          <w:rFonts w:ascii="Times New Roman" w:hAnsi="Times New Roman" w:cs="Times New Roman"/>
          <w:sz w:val="24"/>
          <w:szCs w:val="24"/>
        </w:rPr>
        <w:footnoteReference w:id="6"/>
      </w:r>
    </w:p>
    <w:p w14:paraId="55FA4DD6" w14:textId="77777777" w:rsidR="00A963F6" w:rsidRDefault="00A963F6" w:rsidP="00A963F6">
      <w:pPr>
        <w:rPr>
          <w:rFonts w:ascii="Times New Roman" w:hAnsi="Times New Roman" w:cs="Times New Roman"/>
          <w:b/>
          <w:sz w:val="24"/>
          <w:szCs w:val="24"/>
        </w:rPr>
      </w:pPr>
      <w:r>
        <w:rPr>
          <w:rFonts w:ascii="Times New Roman" w:hAnsi="Times New Roman" w:cs="Times New Roman"/>
          <w:b/>
          <w:sz w:val="24"/>
          <w:szCs w:val="24"/>
        </w:rPr>
        <w:t>Cambodia</w:t>
      </w:r>
      <w:r>
        <w:rPr>
          <w:rFonts w:ascii="Times New Roman" w:hAnsi="Times New Roman" w:cs="Times New Roman"/>
          <w:sz w:val="24"/>
          <w:szCs w:val="24"/>
        </w:rPr>
        <w:t xml:space="preserve"> </w:t>
      </w:r>
      <w:r>
        <w:rPr>
          <w:rFonts w:ascii="Times New Roman" w:hAnsi="Times New Roman" w:cs="Times New Roman"/>
          <w:b/>
          <w:sz w:val="24"/>
          <w:szCs w:val="24"/>
        </w:rPr>
        <w:t>(1970-1975)</w:t>
      </w:r>
    </w:p>
    <w:p w14:paraId="7E88F1C4" w14:textId="77777777" w:rsidR="00A963F6" w:rsidRDefault="00A963F6" w:rsidP="00A963F6">
      <w:pPr>
        <w:rPr>
          <w:rFonts w:ascii="Times New Roman" w:hAnsi="Times New Roman" w:cs="Times New Roman"/>
          <w:sz w:val="24"/>
          <w:szCs w:val="24"/>
        </w:rPr>
      </w:pPr>
      <w:r>
        <w:rPr>
          <w:rFonts w:ascii="Times New Roman" w:hAnsi="Times New Roman" w:cs="Times New Roman"/>
          <w:sz w:val="24"/>
          <w:szCs w:val="24"/>
        </w:rPr>
        <w:t>Rebels / Incumbents: Khmer Rouge, Khmer National United Front (FUNK) / Khmer Republic</w:t>
      </w:r>
    </w:p>
    <w:p w14:paraId="66AFE30A" w14:textId="0B6EE646" w:rsidR="00A963F6" w:rsidRDefault="00A963F6" w:rsidP="00A963F6">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131A58">
        <w:rPr>
          <w:rFonts w:ascii="Times New Roman" w:hAnsi="Times New Roman" w:cs="Times New Roman"/>
          <w:b/>
          <w:sz w:val="24"/>
          <w:szCs w:val="24"/>
        </w:rPr>
        <w:t>1</w:t>
      </w:r>
      <w:r w:rsidRPr="00F62BA4">
        <w:rPr>
          <w:rFonts w:ascii="Times New Roman" w:hAnsi="Times New Roman" w:cs="Times New Roman"/>
          <w:b/>
          <w:sz w:val="24"/>
          <w:szCs w:val="24"/>
        </w:rPr>
        <w:t xml:space="preserve">; Public Goods: </w:t>
      </w:r>
      <w:r w:rsidR="00131A58">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131A58">
        <w:rPr>
          <w:rFonts w:ascii="Times New Roman" w:hAnsi="Times New Roman" w:cs="Times New Roman"/>
          <w:b/>
          <w:sz w:val="24"/>
          <w:szCs w:val="24"/>
        </w:rPr>
        <w:t xml:space="preserve"> </w:t>
      </w:r>
      <w:r w:rsidR="00BE2190">
        <w:rPr>
          <w:rFonts w:ascii="Times New Roman" w:hAnsi="Times New Roman" w:cs="Times New Roman"/>
          <w:b/>
          <w:sz w:val="24"/>
          <w:szCs w:val="24"/>
        </w:rPr>
        <w:t>1</w:t>
      </w:r>
    </w:p>
    <w:p w14:paraId="04A5D3C6" w14:textId="77777777" w:rsidR="00A963F6" w:rsidRPr="00043910" w:rsidRDefault="00A963F6" w:rsidP="00A963F6">
      <w:pPr>
        <w:rPr>
          <w:rFonts w:ascii="Times New Roman" w:hAnsi="Times New Roman" w:cs="Times New Roman"/>
          <w:sz w:val="24"/>
          <w:szCs w:val="24"/>
        </w:rPr>
      </w:pPr>
      <w:r>
        <w:rPr>
          <w:rFonts w:ascii="Times New Roman" w:hAnsi="Times New Roman" w:cs="Times New Roman"/>
          <w:sz w:val="24"/>
          <w:szCs w:val="24"/>
        </w:rPr>
        <w:tab/>
        <w:t xml:space="preserve">After a coup d’état dissolved the Kingdom of Cambodia, the Khmer Republic was established with then-Prime Minister Lon </w:t>
      </w:r>
      <w:proofErr w:type="spellStart"/>
      <w:r>
        <w:rPr>
          <w:rFonts w:ascii="Times New Roman" w:hAnsi="Times New Roman" w:cs="Times New Roman"/>
          <w:sz w:val="24"/>
          <w:szCs w:val="24"/>
        </w:rPr>
        <w:t>Nol</w:t>
      </w:r>
      <w:proofErr w:type="spellEnd"/>
      <w:r>
        <w:rPr>
          <w:rFonts w:ascii="Times New Roman" w:hAnsi="Times New Roman" w:cs="Times New Roman"/>
          <w:sz w:val="24"/>
          <w:szCs w:val="24"/>
        </w:rPr>
        <w:t xml:space="preserve"> given extraordinary powers in the new state.</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A </w:t>
      </w:r>
      <w:r>
        <w:rPr>
          <w:rFonts w:ascii="Times New Roman" w:hAnsi="Times New Roman" w:cs="Times New Roman"/>
          <w:sz w:val="24"/>
          <w:szCs w:val="24"/>
        </w:rPr>
        <w:lastRenderedPageBreak/>
        <w:t>civil war began in earnest, with supporters of the ousted monarchy and communist guerilla forces maintaining consistent support in the countryside. Their alliance was a strange one, as only months before the coup, Prince Sihanouk had been fighting against Khmer Rouge forces.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The support from Vietnamese communists made this odd couple a trio, but no less odd; although initially supportive of the movement, the Vietnamese saw their offers of paternal support of Khmer Rouge rebuffed in the 1950s. Indeed, given the Hanoi-Sihanouk dialogue during the 1960s and the purge of pro-Vietnamese communists from Khmer Rouge, one could argue that the Vietnamese</w:t>
      </w:r>
      <w:r w:rsidRPr="00043910">
        <w:rPr>
          <w:rFonts w:ascii="Times New Roman" w:hAnsi="Times New Roman" w:cs="Times New Roman"/>
          <w:sz w:val="24"/>
          <w:szCs w:val="24"/>
        </w:rPr>
        <w:t xml:space="preserve"> communists were closer with the monarchists.</w:t>
      </w:r>
      <w:r w:rsidRPr="00043910">
        <w:rPr>
          <w:rStyle w:val="FootnoteReference"/>
          <w:rFonts w:ascii="Times New Roman" w:hAnsi="Times New Roman" w:cs="Times New Roman"/>
          <w:sz w:val="24"/>
          <w:szCs w:val="24"/>
        </w:rPr>
        <w:footnoteReference w:id="9"/>
      </w:r>
      <w:r w:rsidRPr="00043910">
        <w:rPr>
          <w:rFonts w:ascii="Times New Roman" w:hAnsi="Times New Roman" w:cs="Times New Roman"/>
          <w:sz w:val="24"/>
          <w:szCs w:val="24"/>
        </w:rPr>
        <w:t xml:space="preserve"> </w:t>
      </w:r>
    </w:p>
    <w:p w14:paraId="68B9FDF0" w14:textId="5F23787E" w:rsidR="00270DAF" w:rsidRDefault="00043910">
      <w:pPr>
        <w:rPr>
          <w:rFonts w:ascii="Times New Roman" w:hAnsi="Times New Roman" w:cs="Times New Roman"/>
          <w:sz w:val="24"/>
          <w:szCs w:val="24"/>
        </w:rPr>
      </w:pPr>
      <w:r w:rsidRPr="00043910">
        <w:rPr>
          <w:rFonts w:ascii="Times New Roman" w:hAnsi="Times New Roman" w:cs="Times New Roman"/>
          <w:sz w:val="24"/>
          <w:szCs w:val="24"/>
        </w:rPr>
        <w:tab/>
        <w:t>Despite</w:t>
      </w:r>
      <w:r>
        <w:rPr>
          <w:rFonts w:ascii="Times New Roman" w:hAnsi="Times New Roman" w:cs="Times New Roman"/>
          <w:sz w:val="24"/>
          <w:szCs w:val="24"/>
        </w:rPr>
        <w:t xml:space="preserve"> the antipathy between Vietnamese and Cambodian communists, the former did take great pains to establish a parallel system of governance for the rebels. They sought out and identified individuals and arranged for them to be elected by a public show of hands. Once elected, they would serve as FUNK chairmen for their village</w:t>
      </w:r>
      <w:r w:rsidR="00F7512C">
        <w:rPr>
          <w:rFonts w:ascii="Times New Roman" w:hAnsi="Times New Roman" w:cs="Times New Roman"/>
          <w:sz w:val="24"/>
          <w:szCs w:val="24"/>
        </w:rPr>
        <w:t>.</w:t>
      </w:r>
      <w:r w:rsidR="00233467">
        <w:rPr>
          <w:rStyle w:val="FootnoteReference"/>
          <w:rFonts w:ascii="Times New Roman" w:hAnsi="Times New Roman" w:cs="Times New Roman"/>
          <w:sz w:val="24"/>
          <w:szCs w:val="24"/>
        </w:rPr>
        <w:footnoteReference w:id="10"/>
      </w:r>
      <w:r w:rsidR="00F7512C">
        <w:rPr>
          <w:rFonts w:ascii="Times New Roman" w:hAnsi="Times New Roman" w:cs="Times New Roman"/>
          <w:sz w:val="24"/>
          <w:szCs w:val="24"/>
        </w:rPr>
        <w:t xml:space="preserve"> Had Khmer Rouge </w:t>
      </w:r>
      <w:r w:rsidR="00C27314">
        <w:rPr>
          <w:rFonts w:ascii="Times New Roman" w:hAnsi="Times New Roman" w:cs="Times New Roman"/>
          <w:sz w:val="24"/>
          <w:szCs w:val="24"/>
        </w:rPr>
        <w:t>been directly responsible for these elections</w:t>
      </w:r>
      <w:r w:rsidR="00F7512C">
        <w:rPr>
          <w:rFonts w:ascii="Times New Roman" w:hAnsi="Times New Roman" w:cs="Times New Roman"/>
          <w:sz w:val="24"/>
          <w:szCs w:val="24"/>
        </w:rPr>
        <w:t xml:space="preserve">, this would be a </w:t>
      </w:r>
      <w:r w:rsidR="00C27314">
        <w:rPr>
          <w:rFonts w:ascii="Times New Roman" w:hAnsi="Times New Roman" w:cs="Times New Roman"/>
          <w:sz w:val="24"/>
          <w:szCs w:val="24"/>
        </w:rPr>
        <w:t>momentous</w:t>
      </w:r>
      <w:r w:rsidR="00F7512C">
        <w:rPr>
          <w:rFonts w:ascii="Times New Roman" w:hAnsi="Times New Roman" w:cs="Times New Roman"/>
          <w:sz w:val="24"/>
          <w:szCs w:val="24"/>
        </w:rPr>
        <w:t xml:space="preserve"> success of Khmer Rouge’s efforts to establish a rebel governance apparatus.</w:t>
      </w:r>
      <w:r w:rsidR="00C27314">
        <w:rPr>
          <w:rFonts w:ascii="Times New Roman" w:hAnsi="Times New Roman" w:cs="Times New Roman"/>
          <w:sz w:val="24"/>
          <w:szCs w:val="24"/>
        </w:rPr>
        <w:t xml:space="preserve"> After all, they were </w:t>
      </w:r>
      <w:r w:rsidR="008266A3">
        <w:rPr>
          <w:rFonts w:ascii="Times New Roman" w:hAnsi="Times New Roman" w:cs="Times New Roman"/>
          <w:sz w:val="24"/>
          <w:szCs w:val="24"/>
        </w:rPr>
        <w:t>Cambodia’s first free elections held at such a level.</w:t>
      </w:r>
      <w:r w:rsidR="00F7512C">
        <w:rPr>
          <w:rFonts w:ascii="Times New Roman" w:hAnsi="Times New Roman" w:cs="Times New Roman"/>
          <w:sz w:val="24"/>
          <w:szCs w:val="24"/>
        </w:rPr>
        <w:t xml:space="preserve"> However, it was </w:t>
      </w:r>
      <w:r w:rsidR="00C27314">
        <w:rPr>
          <w:rFonts w:ascii="Times New Roman" w:hAnsi="Times New Roman" w:cs="Times New Roman"/>
          <w:sz w:val="24"/>
          <w:szCs w:val="24"/>
        </w:rPr>
        <w:t>substantially</w:t>
      </w:r>
      <w:r w:rsidR="00F7512C">
        <w:rPr>
          <w:rFonts w:ascii="Times New Roman" w:hAnsi="Times New Roman" w:cs="Times New Roman"/>
          <w:sz w:val="24"/>
          <w:szCs w:val="24"/>
        </w:rPr>
        <w:t xml:space="preserve"> dependent upon the Viet Cong.</w:t>
      </w:r>
      <w:r w:rsidR="00E125C2" w:rsidRPr="00E125C2">
        <w:rPr>
          <w:rFonts w:ascii="Times New Roman" w:hAnsi="Times New Roman" w:cs="Times New Roman"/>
          <w:sz w:val="24"/>
          <w:szCs w:val="24"/>
        </w:rPr>
        <w:t xml:space="preserve"> </w:t>
      </w:r>
      <w:r w:rsidR="00E125C2">
        <w:rPr>
          <w:rFonts w:ascii="Times New Roman" w:hAnsi="Times New Roman" w:cs="Times New Roman"/>
          <w:sz w:val="24"/>
          <w:szCs w:val="24"/>
        </w:rPr>
        <w:t>For instance, the Vietnamese</w:t>
      </w:r>
      <w:r w:rsidR="00914D42">
        <w:rPr>
          <w:rFonts w:ascii="Times New Roman" w:hAnsi="Times New Roman" w:cs="Times New Roman"/>
          <w:sz w:val="24"/>
          <w:szCs w:val="24"/>
        </w:rPr>
        <w:t xml:space="preserve"> not only</w:t>
      </w:r>
      <w:r w:rsidR="00E125C2">
        <w:rPr>
          <w:rFonts w:ascii="Times New Roman" w:hAnsi="Times New Roman" w:cs="Times New Roman"/>
          <w:sz w:val="24"/>
          <w:szCs w:val="24"/>
        </w:rPr>
        <w:t xml:space="preserve"> played a role in selecting who would</w:t>
      </w:r>
      <w:r w:rsidR="00914D42">
        <w:rPr>
          <w:rFonts w:ascii="Times New Roman" w:hAnsi="Times New Roman" w:cs="Times New Roman"/>
          <w:sz w:val="24"/>
          <w:szCs w:val="24"/>
        </w:rPr>
        <w:t>,</w:t>
      </w:r>
      <w:r w:rsidR="00E125C2">
        <w:rPr>
          <w:rFonts w:ascii="Times New Roman" w:hAnsi="Times New Roman" w:cs="Times New Roman"/>
          <w:sz w:val="24"/>
          <w:szCs w:val="24"/>
        </w:rPr>
        <w:t xml:space="preserve"> </w:t>
      </w:r>
      <w:r w:rsidR="00914D42">
        <w:rPr>
          <w:rFonts w:ascii="Times New Roman" w:hAnsi="Times New Roman" w:cs="Times New Roman"/>
          <w:sz w:val="24"/>
          <w:szCs w:val="24"/>
        </w:rPr>
        <w:t xml:space="preserve">but </w:t>
      </w:r>
      <w:r w:rsidR="00E125C2">
        <w:rPr>
          <w:rFonts w:ascii="Times New Roman" w:hAnsi="Times New Roman" w:cs="Times New Roman"/>
          <w:sz w:val="24"/>
          <w:szCs w:val="24"/>
        </w:rPr>
        <w:t>if the</w:t>
      </w:r>
      <w:r w:rsidR="00914D42">
        <w:rPr>
          <w:rFonts w:ascii="Times New Roman" w:hAnsi="Times New Roman" w:cs="Times New Roman"/>
          <w:sz w:val="24"/>
          <w:szCs w:val="24"/>
        </w:rPr>
        <w:t xml:space="preserve"> winner</w:t>
      </w:r>
      <w:r w:rsidR="00E125C2">
        <w:rPr>
          <w:rFonts w:ascii="Times New Roman" w:hAnsi="Times New Roman" w:cs="Times New Roman"/>
          <w:sz w:val="24"/>
          <w:szCs w:val="24"/>
        </w:rPr>
        <w:t xml:space="preserve"> proved unsuitable politically, they were dismissed after a short time.</w:t>
      </w:r>
      <w:r w:rsidR="00E125C2">
        <w:rPr>
          <w:rStyle w:val="FootnoteReference"/>
          <w:rFonts w:ascii="Times New Roman" w:hAnsi="Times New Roman" w:cs="Times New Roman"/>
          <w:sz w:val="24"/>
          <w:szCs w:val="24"/>
        </w:rPr>
        <w:footnoteReference w:id="11"/>
      </w:r>
      <w:r w:rsidR="00F7512C">
        <w:rPr>
          <w:rFonts w:ascii="Times New Roman" w:hAnsi="Times New Roman" w:cs="Times New Roman"/>
          <w:sz w:val="24"/>
          <w:szCs w:val="24"/>
        </w:rPr>
        <w:t xml:space="preserve"> Moreover, its authority was regularly undermined by VC forces stationed around the villages. One account notes an attempt by a FUNK chairman to adjudicate a dispute between monks and VC forces that led to the chairmen receiving a public beating.</w:t>
      </w:r>
      <w:r w:rsidR="00F7512C">
        <w:rPr>
          <w:rStyle w:val="FootnoteReference"/>
          <w:rFonts w:ascii="Times New Roman" w:hAnsi="Times New Roman" w:cs="Times New Roman"/>
          <w:sz w:val="24"/>
          <w:szCs w:val="24"/>
        </w:rPr>
        <w:footnoteReference w:id="12"/>
      </w:r>
      <w:r w:rsidR="00577B9D">
        <w:rPr>
          <w:rFonts w:ascii="Times New Roman" w:hAnsi="Times New Roman" w:cs="Times New Roman"/>
          <w:sz w:val="24"/>
          <w:szCs w:val="24"/>
        </w:rPr>
        <w:t xml:space="preserve"> </w:t>
      </w:r>
      <w:r w:rsidR="00270DAF">
        <w:rPr>
          <w:rFonts w:ascii="Times New Roman" w:hAnsi="Times New Roman" w:cs="Times New Roman"/>
          <w:sz w:val="24"/>
          <w:szCs w:val="24"/>
        </w:rPr>
        <w:t>This disrespect underscored the fact that this system of local governance was little more than an instrument of Vietnamese control. It also highlights the fact that that as an administrative apparatus, it was “in its infancy.”</w:t>
      </w:r>
      <w:r w:rsidR="00270DAF">
        <w:rPr>
          <w:rStyle w:val="FootnoteReference"/>
          <w:rFonts w:ascii="Times New Roman" w:hAnsi="Times New Roman" w:cs="Times New Roman"/>
          <w:sz w:val="24"/>
          <w:szCs w:val="24"/>
        </w:rPr>
        <w:footnoteReference w:id="13"/>
      </w:r>
    </w:p>
    <w:p w14:paraId="424FC411" w14:textId="77777777" w:rsidR="00577B9D" w:rsidRDefault="00270DAF">
      <w:pPr>
        <w:rPr>
          <w:rFonts w:ascii="Times New Roman" w:hAnsi="Times New Roman" w:cs="Times New Roman"/>
          <w:sz w:val="24"/>
          <w:szCs w:val="24"/>
        </w:rPr>
      </w:pPr>
      <w:r>
        <w:rPr>
          <w:rFonts w:ascii="Times New Roman" w:hAnsi="Times New Roman" w:cs="Times New Roman"/>
          <w:sz w:val="24"/>
          <w:szCs w:val="24"/>
        </w:rPr>
        <w:tab/>
      </w:r>
      <w:r w:rsidR="00577B9D">
        <w:rPr>
          <w:rFonts w:ascii="Times New Roman" w:hAnsi="Times New Roman" w:cs="Times New Roman"/>
          <w:sz w:val="24"/>
          <w:szCs w:val="24"/>
        </w:rPr>
        <w:t xml:space="preserve">Once the Cambodian communists broke away from Vietnam, they </w:t>
      </w:r>
      <w:r>
        <w:rPr>
          <w:rFonts w:ascii="Times New Roman" w:hAnsi="Times New Roman" w:cs="Times New Roman"/>
          <w:sz w:val="24"/>
          <w:szCs w:val="24"/>
        </w:rPr>
        <w:t>abolished FUNK—the auspices under which the tenuous triple alliance existed—and took control of the village leadership structures the Vietnamese had established.</w:t>
      </w:r>
      <w:r w:rsidR="002103C5">
        <w:rPr>
          <w:rStyle w:val="FootnoteReference"/>
          <w:rFonts w:ascii="Times New Roman" w:hAnsi="Times New Roman" w:cs="Times New Roman"/>
          <w:sz w:val="24"/>
          <w:szCs w:val="24"/>
        </w:rPr>
        <w:footnoteReference w:id="14"/>
      </w:r>
      <w:r w:rsidR="002103C5">
        <w:rPr>
          <w:rFonts w:ascii="Times New Roman" w:hAnsi="Times New Roman" w:cs="Times New Roman"/>
          <w:sz w:val="24"/>
          <w:szCs w:val="24"/>
        </w:rPr>
        <w:t xml:space="preserve"> After this seizure, the popular selection of village leadership ceased, and district level officials selected chairmen for each village</w:t>
      </w:r>
      <w:r w:rsidR="00DD0205">
        <w:rPr>
          <w:rFonts w:ascii="Times New Roman" w:hAnsi="Times New Roman" w:cs="Times New Roman"/>
          <w:sz w:val="24"/>
          <w:szCs w:val="24"/>
        </w:rPr>
        <w:t>, further consolidating the group’s power around a small number of people</w:t>
      </w:r>
      <w:r w:rsidR="002103C5">
        <w:rPr>
          <w:rFonts w:ascii="Times New Roman" w:hAnsi="Times New Roman" w:cs="Times New Roman"/>
          <w:sz w:val="24"/>
          <w:szCs w:val="24"/>
        </w:rPr>
        <w:t xml:space="preserve">. </w:t>
      </w:r>
      <w:r w:rsidR="007A795E">
        <w:rPr>
          <w:rFonts w:ascii="Times New Roman" w:hAnsi="Times New Roman" w:cs="Times New Roman"/>
          <w:sz w:val="24"/>
          <w:szCs w:val="24"/>
        </w:rPr>
        <w:t>However, the village-level administration continued to function as a policing instrument.</w:t>
      </w:r>
      <w:r>
        <w:rPr>
          <w:rStyle w:val="FootnoteReference"/>
          <w:rFonts w:ascii="Times New Roman" w:hAnsi="Times New Roman" w:cs="Times New Roman"/>
          <w:sz w:val="24"/>
          <w:szCs w:val="24"/>
        </w:rPr>
        <w:footnoteReference w:id="15"/>
      </w:r>
      <w:r w:rsidR="007A795E">
        <w:rPr>
          <w:rFonts w:ascii="Times New Roman" w:hAnsi="Times New Roman" w:cs="Times New Roman"/>
          <w:sz w:val="24"/>
          <w:szCs w:val="24"/>
        </w:rPr>
        <w:t xml:space="preserve"> Given the communists’ taste for punitive measures in response to criticism of their revolution, this function was used frequently.</w:t>
      </w:r>
      <w:r w:rsidR="002103C5">
        <w:rPr>
          <w:rFonts w:ascii="Times New Roman" w:hAnsi="Times New Roman" w:cs="Times New Roman"/>
          <w:sz w:val="24"/>
          <w:szCs w:val="24"/>
        </w:rPr>
        <w:t xml:space="preserve"> </w:t>
      </w:r>
    </w:p>
    <w:p w14:paraId="09219EE4" w14:textId="77777777" w:rsidR="00372EC8" w:rsidRPr="00043910" w:rsidRDefault="00B100D4">
      <w:pPr>
        <w:rPr>
          <w:rFonts w:ascii="Times New Roman" w:hAnsi="Times New Roman" w:cs="Times New Roman"/>
          <w:sz w:val="24"/>
          <w:szCs w:val="24"/>
        </w:rPr>
      </w:pPr>
      <w:r>
        <w:rPr>
          <w:rFonts w:ascii="Times New Roman" w:hAnsi="Times New Roman" w:cs="Times New Roman"/>
          <w:sz w:val="24"/>
          <w:szCs w:val="24"/>
        </w:rPr>
        <w:lastRenderedPageBreak/>
        <w:tab/>
        <w:t>The provision of public goods was</w:t>
      </w:r>
      <w:r w:rsidR="00914D42">
        <w:rPr>
          <w:rFonts w:ascii="Times New Roman" w:hAnsi="Times New Roman" w:cs="Times New Roman"/>
          <w:sz w:val="24"/>
          <w:szCs w:val="24"/>
        </w:rPr>
        <w:t xml:space="preserve"> largely</w:t>
      </w:r>
      <w:r>
        <w:rPr>
          <w:rFonts w:ascii="Times New Roman" w:hAnsi="Times New Roman" w:cs="Times New Roman"/>
          <w:sz w:val="24"/>
          <w:szCs w:val="24"/>
        </w:rPr>
        <w:t xml:space="preserve"> absent from this structure</w:t>
      </w:r>
      <w:r w:rsidR="00914D42">
        <w:rPr>
          <w:rFonts w:ascii="Times New Roman" w:hAnsi="Times New Roman" w:cs="Times New Roman"/>
          <w:sz w:val="24"/>
          <w:szCs w:val="24"/>
        </w:rPr>
        <w:t>. This</w:t>
      </w:r>
      <w:r>
        <w:rPr>
          <w:rFonts w:ascii="Times New Roman" w:hAnsi="Times New Roman" w:cs="Times New Roman"/>
          <w:sz w:val="24"/>
          <w:szCs w:val="24"/>
        </w:rPr>
        <w:t xml:space="preserve"> presag</w:t>
      </w:r>
      <w:r w:rsidR="00914D42">
        <w:rPr>
          <w:rFonts w:ascii="Times New Roman" w:hAnsi="Times New Roman" w:cs="Times New Roman"/>
          <w:sz w:val="24"/>
          <w:szCs w:val="24"/>
        </w:rPr>
        <w:t>ed</w:t>
      </w:r>
      <w:r>
        <w:rPr>
          <w:rFonts w:ascii="Times New Roman" w:hAnsi="Times New Roman" w:cs="Times New Roman"/>
          <w:sz w:val="24"/>
          <w:szCs w:val="24"/>
        </w:rPr>
        <w:t xml:space="preserve"> the Khmer Rouge’s hostility to education and educators during the short-lived Democratic Kampuchea. Interestingly, </w:t>
      </w:r>
      <w:proofErr w:type="spellStart"/>
      <w:r>
        <w:rPr>
          <w:rFonts w:ascii="Times New Roman" w:hAnsi="Times New Roman" w:cs="Times New Roman"/>
          <w:sz w:val="24"/>
          <w:szCs w:val="24"/>
        </w:rPr>
        <w:t>Sihankouk</w:t>
      </w:r>
      <w:proofErr w:type="spellEnd"/>
      <w:r>
        <w:rPr>
          <w:rFonts w:ascii="Times New Roman" w:hAnsi="Times New Roman" w:cs="Times New Roman"/>
          <w:sz w:val="24"/>
          <w:szCs w:val="24"/>
        </w:rPr>
        <w:t xml:space="preserve"> had invested substantial resources into building up Cambodia’s educational resources prior to his ouster.</w:t>
      </w:r>
      <w:r w:rsidR="001924F9">
        <w:rPr>
          <w:rFonts w:ascii="Times New Roman" w:hAnsi="Times New Roman" w:cs="Times New Roman"/>
          <w:sz w:val="24"/>
          <w:szCs w:val="24"/>
        </w:rPr>
        <w:t xml:space="preserve"> These came under attack during the course of the conflict.</w:t>
      </w:r>
      <w:r w:rsidR="00372EC8">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While the comprehensive plan of destroying and remaking Cambodia’s education would not take shape until 1975, KR antipathy to education as an oppressive and reactionary instrument of colonialism manifested itself as early as 1971.</w:t>
      </w:r>
      <w:r w:rsidR="00372EC8">
        <w:rPr>
          <w:rStyle w:val="FootnoteReference"/>
          <w:rFonts w:ascii="Times New Roman" w:hAnsi="Times New Roman" w:cs="Times New Roman"/>
          <w:sz w:val="24"/>
          <w:szCs w:val="24"/>
        </w:rPr>
        <w:footnoteReference w:id="17"/>
      </w:r>
      <w:r w:rsidR="00DD0205">
        <w:rPr>
          <w:rFonts w:ascii="Times New Roman" w:hAnsi="Times New Roman" w:cs="Times New Roman"/>
          <w:sz w:val="24"/>
          <w:szCs w:val="24"/>
        </w:rPr>
        <w:t xml:space="preserve"> Little is known about health provision, although the efforts to restore education provision as the regime was collapsing were often conducted alongside similar efforts to restore healthcare provision.</w:t>
      </w:r>
      <w:r w:rsidR="00DD0205">
        <w:rPr>
          <w:rStyle w:val="FootnoteReference"/>
          <w:rFonts w:ascii="Times New Roman" w:hAnsi="Times New Roman" w:cs="Times New Roman"/>
          <w:sz w:val="24"/>
          <w:szCs w:val="24"/>
        </w:rPr>
        <w:footnoteReference w:id="18"/>
      </w:r>
    </w:p>
    <w:p w14:paraId="69D934B7" w14:textId="77777777" w:rsidR="009F57DF" w:rsidRDefault="009F57DF">
      <w:pPr>
        <w:rPr>
          <w:rFonts w:ascii="Times New Roman" w:hAnsi="Times New Roman" w:cs="Times New Roman"/>
          <w:b/>
          <w:sz w:val="24"/>
          <w:szCs w:val="24"/>
        </w:rPr>
      </w:pPr>
      <w:r>
        <w:rPr>
          <w:rFonts w:ascii="Times New Roman" w:hAnsi="Times New Roman" w:cs="Times New Roman"/>
          <w:b/>
          <w:sz w:val="24"/>
          <w:szCs w:val="24"/>
        </w:rPr>
        <w:t>Chad (1965-1979)</w:t>
      </w:r>
    </w:p>
    <w:p w14:paraId="4CC850E8"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t xml:space="preserve">Rebels / Incumbents: </w:t>
      </w:r>
      <w:r w:rsidR="001760C9">
        <w:rPr>
          <w:rFonts w:ascii="Times New Roman" w:hAnsi="Times New Roman" w:cs="Times New Roman"/>
          <w:sz w:val="24"/>
          <w:szCs w:val="24"/>
        </w:rPr>
        <w:t>National Liberation Front of Chad (FROLINAT)</w:t>
      </w:r>
      <w:r w:rsidR="00BC1D6B">
        <w:rPr>
          <w:rFonts w:ascii="Times New Roman" w:hAnsi="Times New Roman" w:cs="Times New Roman"/>
          <w:sz w:val="24"/>
          <w:szCs w:val="24"/>
        </w:rPr>
        <w:t>, Armed Forces of the North (FAN)</w:t>
      </w:r>
      <w:r w:rsidR="001760C9">
        <w:rPr>
          <w:rFonts w:ascii="Times New Roman" w:hAnsi="Times New Roman" w:cs="Times New Roman"/>
          <w:sz w:val="24"/>
          <w:szCs w:val="24"/>
        </w:rPr>
        <w:t xml:space="preserve"> / Chad</w:t>
      </w:r>
    </w:p>
    <w:p w14:paraId="3BD4BADC" w14:textId="77777777"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654573">
        <w:rPr>
          <w:rFonts w:ascii="Times New Roman" w:hAnsi="Times New Roman" w:cs="Times New Roman"/>
          <w:b/>
          <w:sz w:val="24"/>
          <w:szCs w:val="24"/>
        </w:rPr>
        <w:t>0</w:t>
      </w:r>
      <w:r w:rsidRPr="00F62BA4">
        <w:rPr>
          <w:rFonts w:ascii="Times New Roman" w:hAnsi="Times New Roman" w:cs="Times New Roman"/>
          <w:b/>
          <w:sz w:val="24"/>
          <w:szCs w:val="24"/>
        </w:rPr>
        <w:t xml:space="preserve">; Public Goods: </w:t>
      </w:r>
      <w:r w:rsidR="00654573">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654573">
        <w:rPr>
          <w:rFonts w:ascii="Times New Roman" w:hAnsi="Times New Roman" w:cs="Times New Roman"/>
          <w:b/>
          <w:sz w:val="24"/>
          <w:szCs w:val="24"/>
        </w:rPr>
        <w:t xml:space="preserve"> 0</w:t>
      </w:r>
    </w:p>
    <w:p w14:paraId="6B1156F2" w14:textId="77777777" w:rsidR="009F57DF" w:rsidRDefault="001760C9">
      <w:pPr>
        <w:rPr>
          <w:rFonts w:ascii="Times New Roman" w:hAnsi="Times New Roman" w:cs="Times New Roman"/>
          <w:sz w:val="24"/>
          <w:szCs w:val="24"/>
        </w:rPr>
      </w:pPr>
      <w:r>
        <w:rPr>
          <w:rFonts w:ascii="Times New Roman" w:hAnsi="Times New Roman" w:cs="Times New Roman"/>
          <w:sz w:val="24"/>
          <w:szCs w:val="24"/>
        </w:rPr>
        <w:tab/>
        <w:t>Shortly after gaining independence, Muslim rebels from northern Chad began a civil war to oust southern president Fra</w:t>
      </w:r>
      <w:r w:rsidRPr="001760C9">
        <w:rPr>
          <w:rFonts w:ascii="Times New Roman" w:hAnsi="Times New Roman" w:cs="Times New Roman"/>
          <w:sz w:val="24"/>
          <w:szCs w:val="24"/>
        </w:rPr>
        <w:t>nç</w:t>
      </w:r>
      <w:r>
        <w:rPr>
          <w:rFonts w:ascii="Times New Roman" w:hAnsi="Times New Roman" w:cs="Times New Roman"/>
          <w:sz w:val="24"/>
          <w:szCs w:val="24"/>
        </w:rPr>
        <w:t xml:space="preserve">ois </w:t>
      </w:r>
      <w:proofErr w:type="spellStart"/>
      <w:r>
        <w:rPr>
          <w:rFonts w:ascii="Times New Roman" w:hAnsi="Times New Roman" w:cs="Times New Roman"/>
          <w:sz w:val="24"/>
          <w:szCs w:val="24"/>
        </w:rPr>
        <w:t>Tombalbaye</w:t>
      </w:r>
      <w:proofErr w:type="spellEnd"/>
      <w:r>
        <w:rPr>
          <w:rFonts w:ascii="Times New Roman" w:hAnsi="Times New Roman" w:cs="Times New Roman"/>
          <w:sz w:val="24"/>
          <w:szCs w:val="24"/>
        </w:rPr>
        <w:t xml:space="preserve">. The conflict appears to have been driven by ethnic tensions exacerbated by inept administration and </w:t>
      </w:r>
      <w:proofErr w:type="spellStart"/>
      <w:r>
        <w:rPr>
          <w:rFonts w:ascii="Times New Roman" w:hAnsi="Times New Roman" w:cs="Times New Roman"/>
          <w:sz w:val="24"/>
          <w:szCs w:val="24"/>
        </w:rPr>
        <w:t>Tombalbaye’s</w:t>
      </w:r>
      <w:proofErr w:type="spellEnd"/>
      <w:r>
        <w:rPr>
          <w:rFonts w:ascii="Times New Roman" w:hAnsi="Times New Roman" w:cs="Times New Roman"/>
          <w:sz w:val="24"/>
          <w:szCs w:val="24"/>
        </w:rPr>
        <w:t xml:space="preserve"> autocracy</w:t>
      </w:r>
      <w:r w:rsidR="00BC1D6B">
        <w:rPr>
          <w:rFonts w:ascii="Times New Roman" w:hAnsi="Times New Roman" w:cs="Times New Roman"/>
          <w:sz w:val="24"/>
          <w:szCs w:val="24"/>
        </w:rPr>
        <w:t xml:space="preserve">, but the FROLINAT rebels were themselves hardly free from such tensions. After </w:t>
      </w:r>
      <w:proofErr w:type="spellStart"/>
      <w:r w:rsidR="00BC1D6B">
        <w:rPr>
          <w:rFonts w:ascii="Times New Roman" w:hAnsi="Times New Roman" w:cs="Times New Roman"/>
          <w:sz w:val="24"/>
          <w:szCs w:val="24"/>
        </w:rPr>
        <w:t>Tombalbaye</w:t>
      </w:r>
      <w:proofErr w:type="spellEnd"/>
      <w:r w:rsidR="00BC1D6B">
        <w:rPr>
          <w:rFonts w:ascii="Times New Roman" w:hAnsi="Times New Roman" w:cs="Times New Roman"/>
          <w:sz w:val="24"/>
          <w:szCs w:val="24"/>
        </w:rPr>
        <w:t xml:space="preserve"> was removed by one of his generals, </w:t>
      </w:r>
      <w:r w:rsidR="00BC1D6B" w:rsidRPr="00BC1D6B">
        <w:rPr>
          <w:rFonts w:ascii="Times New Roman" w:hAnsi="Times New Roman" w:cs="Times New Roman"/>
          <w:sz w:val="24"/>
          <w:szCs w:val="24"/>
        </w:rPr>
        <w:t xml:space="preserve">Felix </w:t>
      </w:r>
      <w:proofErr w:type="spellStart"/>
      <w:r w:rsidR="00BC1D6B" w:rsidRPr="00BC1D6B">
        <w:rPr>
          <w:rFonts w:ascii="Times New Roman" w:hAnsi="Times New Roman" w:cs="Times New Roman"/>
          <w:sz w:val="24"/>
          <w:szCs w:val="24"/>
        </w:rPr>
        <w:t>Malloum</w:t>
      </w:r>
      <w:proofErr w:type="spellEnd"/>
      <w:r w:rsidR="00BC1D6B">
        <w:rPr>
          <w:rFonts w:ascii="Times New Roman" w:hAnsi="Times New Roman" w:cs="Times New Roman"/>
          <w:sz w:val="24"/>
          <w:szCs w:val="24"/>
        </w:rPr>
        <w:t>, FROLINAT split into two, with FAN constituting the new group.</w:t>
      </w:r>
      <w:r w:rsidR="00BC1D6B">
        <w:rPr>
          <w:rStyle w:val="FootnoteReference"/>
          <w:rFonts w:ascii="Times New Roman" w:hAnsi="Times New Roman" w:cs="Times New Roman"/>
          <w:sz w:val="24"/>
          <w:szCs w:val="24"/>
        </w:rPr>
        <w:footnoteReference w:id="19"/>
      </w:r>
    </w:p>
    <w:p w14:paraId="134177A1" w14:textId="77777777" w:rsidR="00B257A9" w:rsidRPr="00B257A9" w:rsidRDefault="00B257A9">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FROLINAT rebels controlled the northern third of Chad, consisting of the prefectures of</w:t>
      </w:r>
      <w:r w:rsidRPr="00B257A9">
        <w:rPr>
          <w:rFonts w:ascii="Times New Roman" w:hAnsi="Times New Roman" w:cs="Times New Roman"/>
          <w:sz w:val="24"/>
          <w:szCs w:val="24"/>
        </w:rPr>
        <w:t xml:space="preserve"> </w:t>
      </w:r>
      <w:proofErr w:type="spellStart"/>
      <w:r w:rsidRPr="00B257A9">
        <w:rPr>
          <w:rFonts w:ascii="Times New Roman" w:hAnsi="Times New Roman" w:cs="Times New Roman"/>
          <w:sz w:val="24"/>
          <w:szCs w:val="24"/>
        </w:rPr>
        <w:t>Bourkoum</w:t>
      </w:r>
      <w:proofErr w:type="spellEnd"/>
      <w:r w:rsidRPr="00B257A9">
        <w:rPr>
          <w:rFonts w:ascii="Times New Roman" w:hAnsi="Times New Roman" w:cs="Times New Roman"/>
          <w:sz w:val="24"/>
          <w:szCs w:val="24"/>
        </w:rPr>
        <w:t xml:space="preserve">, </w:t>
      </w:r>
      <w:proofErr w:type="spellStart"/>
      <w:r w:rsidRPr="00B257A9">
        <w:rPr>
          <w:rFonts w:ascii="Times New Roman" w:hAnsi="Times New Roman" w:cs="Times New Roman"/>
          <w:sz w:val="24"/>
          <w:szCs w:val="24"/>
        </w:rPr>
        <w:t>Ennedei</w:t>
      </w:r>
      <w:proofErr w:type="spellEnd"/>
      <w:r w:rsidRPr="00B257A9">
        <w:rPr>
          <w:rFonts w:ascii="Times New Roman" w:hAnsi="Times New Roman" w:cs="Times New Roman"/>
          <w:sz w:val="24"/>
          <w:szCs w:val="24"/>
        </w:rPr>
        <w:t xml:space="preserve"> and Tibesti</w:t>
      </w:r>
      <w:r w:rsidR="007136F7">
        <w:rPr>
          <w:rFonts w:ascii="Times New Roman" w:hAnsi="Times New Roman" w:cs="Times New Roman"/>
          <w:sz w:val="24"/>
          <w:szCs w:val="24"/>
        </w:rPr>
        <w:t xml:space="preserve"> (BET)</w:t>
      </w:r>
      <w:r>
        <w:rPr>
          <w:rFonts w:ascii="Times New Roman" w:hAnsi="Times New Roman" w:cs="Times New Roman"/>
          <w:sz w:val="24"/>
          <w:szCs w:val="24"/>
        </w:rPr>
        <w:t>, from around 1971.</w:t>
      </w:r>
      <w:r w:rsidR="006F2253">
        <w:rPr>
          <w:rStyle w:val="FootnoteReference"/>
          <w:rFonts w:ascii="Times New Roman" w:hAnsi="Times New Roman" w:cs="Times New Roman"/>
          <w:sz w:val="24"/>
          <w:szCs w:val="24"/>
        </w:rPr>
        <w:footnoteReference w:id="20"/>
      </w:r>
      <w:r w:rsidR="006F2253">
        <w:rPr>
          <w:rFonts w:ascii="Times New Roman" w:hAnsi="Times New Roman" w:cs="Times New Roman"/>
          <w:sz w:val="24"/>
          <w:szCs w:val="24"/>
        </w:rPr>
        <w:t xml:space="preserve"> This was achieved with Libyan assistance, as Muhammar Qadhafi hoped the rebels would allow Libya to annex the mineral-rich </w:t>
      </w:r>
      <w:proofErr w:type="spellStart"/>
      <w:r w:rsidR="006F2253">
        <w:rPr>
          <w:rFonts w:ascii="Times New Roman" w:hAnsi="Times New Roman" w:cs="Times New Roman"/>
          <w:sz w:val="24"/>
          <w:szCs w:val="24"/>
        </w:rPr>
        <w:t>Aozou</w:t>
      </w:r>
      <w:proofErr w:type="spellEnd"/>
      <w:r w:rsidR="006F2253">
        <w:rPr>
          <w:rFonts w:ascii="Times New Roman" w:hAnsi="Times New Roman" w:cs="Times New Roman"/>
          <w:sz w:val="24"/>
          <w:szCs w:val="24"/>
        </w:rPr>
        <w:t>. Strip.</w:t>
      </w:r>
      <w:r w:rsidR="006F2253">
        <w:rPr>
          <w:rStyle w:val="FootnoteReference"/>
          <w:rFonts w:ascii="Times New Roman" w:hAnsi="Times New Roman" w:cs="Times New Roman"/>
          <w:sz w:val="24"/>
          <w:szCs w:val="24"/>
        </w:rPr>
        <w:footnoteReference w:id="21"/>
      </w:r>
      <w:r w:rsidR="006F2253">
        <w:rPr>
          <w:rFonts w:ascii="Times New Roman" w:hAnsi="Times New Roman" w:cs="Times New Roman"/>
          <w:sz w:val="24"/>
          <w:szCs w:val="24"/>
        </w:rPr>
        <w:t xml:space="preserve"> Despite carving out an impressive stretch of territory for itself, there are few mentions of rebel administration. FROLINAT administration appears to have consisted primarily of a system of communications and identification cards.</w:t>
      </w:r>
      <w:r w:rsidR="006F2253">
        <w:rPr>
          <w:rStyle w:val="FootnoteReference"/>
          <w:rFonts w:ascii="Times New Roman" w:hAnsi="Times New Roman" w:cs="Times New Roman"/>
          <w:sz w:val="24"/>
          <w:szCs w:val="24"/>
        </w:rPr>
        <w:footnoteReference w:id="22"/>
      </w:r>
      <w:r w:rsidR="004F75B3">
        <w:rPr>
          <w:rFonts w:ascii="Times New Roman" w:hAnsi="Times New Roman" w:cs="Times New Roman"/>
          <w:sz w:val="24"/>
          <w:szCs w:val="24"/>
        </w:rPr>
        <w:t xml:space="preserve"> This may be</w:t>
      </w:r>
      <w:r w:rsidR="007136F7">
        <w:rPr>
          <w:rFonts w:ascii="Times New Roman" w:hAnsi="Times New Roman" w:cs="Times New Roman"/>
          <w:sz w:val="24"/>
          <w:szCs w:val="24"/>
        </w:rPr>
        <w:t xml:space="preserve"> somewhat surprising given FROLINAT’s founder </w:t>
      </w:r>
      <w:r w:rsidR="007136F7" w:rsidRPr="007136F7">
        <w:rPr>
          <w:rFonts w:ascii="Times New Roman" w:hAnsi="Times New Roman" w:cs="Times New Roman"/>
          <w:sz w:val="24"/>
          <w:szCs w:val="24"/>
        </w:rPr>
        <w:t xml:space="preserve">Ibrahim </w:t>
      </w:r>
      <w:proofErr w:type="spellStart"/>
      <w:r w:rsidR="007136F7" w:rsidRPr="007136F7">
        <w:rPr>
          <w:rFonts w:ascii="Times New Roman" w:hAnsi="Times New Roman" w:cs="Times New Roman"/>
          <w:sz w:val="24"/>
          <w:szCs w:val="24"/>
        </w:rPr>
        <w:t>Abatcha</w:t>
      </w:r>
      <w:r w:rsidR="007136F7">
        <w:rPr>
          <w:rFonts w:ascii="Times New Roman" w:hAnsi="Times New Roman" w:cs="Times New Roman"/>
          <w:sz w:val="24"/>
          <w:szCs w:val="24"/>
        </w:rPr>
        <w:t>’s</w:t>
      </w:r>
      <w:proofErr w:type="spellEnd"/>
      <w:r w:rsidR="007136F7">
        <w:rPr>
          <w:rFonts w:ascii="Times New Roman" w:hAnsi="Times New Roman" w:cs="Times New Roman"/>
          <w:sz w:val="24"/>
          <w:szCs w:val="24"/>
        </w:rPr>
        <w:t xml:space="preserve"> political ideology,</w:t>
      </w:r>
      <w:r w:rsidR="00402065">
        <w:rPr>
          <w:rFonts w:ascii="Times New Roman" w:hAnsi="Times New Roman" w:cs="Times New Roman"/>
          <w:sz w:val="24"/>
          <w:szCs w:val="24"/>
        </w:rPr>
        <w:t xml:space="preserve"> but</w:t>
      </w:r>
      <w:r w:rsidR="007136F7">
        <w:rPr>
          <w:rFonts w:ascii="Times New Roman" w:hAnsi="Times New Roman" w:cs="Times New Roman"/>
          <w:sz w:val="24"/>
          <w:szCs w:val="24"/>
        </w:rPr>
        <w:t xml:space="preserve"> the group began to splinter after he was killed in combat</w:t>
      </w:r>
      <w:r w:rsidR="0097134B">
        <w:rPr>
          <w:rFonts w:ascii="Times New Roman" w:hAnsi="Times New Roman" w:cs="Times New Roman"/>
          <w:sz w:val="24"/>
          <w:szCs w:val="24"/>
        </w:rPr>
        <w:t xml:space="preserve"> and was riven by internal divisions beforehand</w:t>
      </w:r>
      <w:r w:rsidR="007136F7">
        <w:rPr>
          <w:rFonts w:ascii="Times New Roman" w:hAnsi="Times New Roman" w:cs="Times New Roman"/>
          <w:sz w:val="24"/>
          <w:szCs w:val="24"/>
        </w:rPr>
        <w:t>.</w:t>
      </w:r>
      <w:r w:rsidR="007136F7">
        <w:rPr>
          <w:rStyle w:val="FootnoteReference"/>
          <w:rFonts w:ascii="Times New Roman" w:hAnsi="Times New Roman" w:cs="Times New Roman"/>
          <w:sz w:val="24"/>
          <w:szCs w:val="24"/>
        </w:rPr>
        <w:footnoteReference w:id="23"/>
      </w:r>
      <w:r w:rsidR="007136F7">
        <w:rPr>
          <w:rFonts w:ascii="Times New Roman" w:hAnsi="Times New Roman" w:cs="Times New Roman"/>
          <w:sz w:val="24"/>
          <w:szCs w:val="24"/>
        </w:rPr>
        <w:t xml:space="preserve"> </w:t>
      </w:r>
      <w:r w:rsidR="007136F7">
        <w:rPr>
          <w:rFonts w:ascii="Times New Roman" w:hAnsi="Times New Roman" w:cs="Times New Roman"/>
          <w:sz w:val="24"/>
          <w:szCs w:val="24"/>
        </w:rPr>
        <w:lastRenderedPageBreak/>
        <w:t>Moreover,</w:t>
      </w:r>
      <w:r w:rsidR="004F75B3">
        <w:rPr>
          <w:rFonts w:ascii="Times New Roman" w:hAnsi="Times New Roman" w:cs="Times New Roman"/>
          <w:sz w:val="24"/>
          <w:szCs w:val="24"/>
        </w:rPr>
        <w:t xml:space="preserve"> </w:t>
      </w:r>
      <w:r w:rsidR="007136F7">
        <w:rPr>
          <w:rFonts w:ascii="Times New Roman" w:hAnsi="Times New Roman" w:cs="Times New Roman"/>
          <w:sz w:val="24"/>
          <w:szCs w:val="24"/>
        </w:rPr>
        <w:t>BET</w:t>
      </w:r>
      <w:r w:rsidR="00263562">
        <w:rPr>
          <w:rFonts w:ascii="Times New Roman" w:hAnsi="Times New Roman" w:cs="Times New Roman"/>
          <w:sz w:val="24"/>
          <w:szCs w:val="24"/>
        </w:rPr>
        <w:t xml:space="preserve"> could</w:t>
      </w:r>
      <w:r w:rsidR="007136F7">
        <w:rPr>
          <w:rFonts w:ascii="Times New Roman" w:hAnsi="Times New Roman" w:cs="Times New Roman"/>
          <w:sz w:val="24"/>
          <w:szCs w:val="24"/>
        </w:rPr>
        <w:t xml:space="preserve"> </w:t>
      </w:r>
      <w:r w:rsidR="00263562">
        <w:rPr>
          <w:rFonts w:ascii="Times New Roman" w:hAnsi="Times New Roman" w:cs="Times New Roman"/>
          <w:sz w:val="24"/>
          <w:szCs w:val="24"/>
        </w:rPr>
        <w:t>hardly be said to have been</w:t>
      </w:r>
      <w:r w:rsidR="007136F7">
        <w:rPr>
          <w:rFonts w:ascii="Times New Roman" w:hAnsi="Times New Roman" w:cs="Times New Roman"/>
          <w:sz w:val="24"/>
          <w:szCs w:val="24"/>
        </w:rPr>
        <w:t xml:space="preserve"> administered</w:t>
      </w:r>
      <w:r w:rsidR="00263562">
        <w:rPr>
          <w:rFonts w:ascii="Times New Roman" w:hAnsi="Times New Roman" w:cs="Times New Roman"/>
          <w:sz w:val="24"/>
          <w:szCs w:val="24"/>
        </w:rPr>
        <w:t xml:space="preserve"> at all,</w:t>
      </w:r>
      <w:r w:rsidR="007136F7">
        <w:rPr>
          <w:rFonts w:ascii="Times New Roman" w:hAnsi="Times New Roman" w:cs="Times New Roman"/>
          <w:sz w:val="24"/>
          <w:szCs w:val="24"/>
        </w:rPr>
        <w:t xml:space="preserve"> even during Chad’s colonial period</w:t>
      </w:r>
      <w:r w:rsidR="00263562">
        <w:rPr>
          <w:rFonts w:ascii="Times New Roman" w:hAnsi="Times New Roman" w:cs="Times New Roman"/>
          <w:sz w:val="24"/>
          <w:szCs w:val="24"/>
        </w:rPr>
        <w:t>; the lack of robust administration was not exactly a new development</w:t>
      </w:r>
      <w:r w:rsidR="007136F7">
        <w:rPr>
          <w:rFonts w:ascii="Times New Roman" w:hAnsi="Times New Roman" w:cs="Times New Roman"/>
          <w:sz w:val="24"/>
          <w:szCs w:val="24"/>
        </w:rPr>
        <w:t>.</w:t>
      </w:r>
      <w:r w:rsidR="007136F7">
        <w:rPr>
          <w:rStyle w:val="FootnoteReference"/>
          <w:rFonts w:ascii="Times New Roman" w:hAnsi="Times New Roman" w:cs="Times New Roman"/>
          <w:sz w:val="24"/>
          <w:szCs w:val="24"/>
        </w:rPr>
        <w:footnoteReference w:id="24"/>
      </w:r>
    </w:p>
    <w:p w14:paraId="51971CC0" w14:textId="77777777" w:rsidR="009F57DF" w:rsidRDefault="009F57DF">
      <w:pPr>
        <w:rPr>
          <w:rFonts w:ascii="Times New Roman" w:hAnsi="Times New Roman" w:cs="Times New Roman"/>
          <w:b/>
          <w:sz w:val="24"/>
          <w:szCs w:val="24"/>
        </w:rPr>
      </w:pPr>
      <w:r w:rsidRPr="009F57DF">
        <w:rPr>
          <w:rFonts w:ascii="Times New Roman" w:hAnsi="Times New Roman" w:cs="Times New Roman"/>
          <w:b/>
          <w:sz w:val="24"/>
          <w:szCs w:val="24"/>
        </w:rPr>
        <w:t>Cyprus (1974)</w:t>
      </w:r>
    </w:p>
    <w:p w14:paraId="2D36D39C"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t xml:space="preserve">Rebels / Incumbents: </w:t>
      </w:r>
      <w:r w:rsidR="00A76B21">
        <w:rPr>
          <w:rFonts w:ascii="Times New Roman" w:hAnsi="Times New Roman" w:cs="Times New Roman"/>
          <w:sz w:val="24"/>
          <w:szCs w:val="24"/>
        </w:rPr>
        <w:t xml:space="preserve">Turkish Resistance </w:t>
      </w:r>
      <w:proofErr w:type="spellStart"/>
      <w:r w:rsidR="00A76B21">
        <w:rPr>
          <w:rFonts w:ascii="Times New Roman" w:hAnsi="Times New Roman" w:cs="Times New Roman"/>
          <w:sz w:val="24"/>
          <w:szCs w:val="24"/>
        </w:rPr>
        <w:t>Organisation</w:t>
      </w:r>
      <w:proofErr w:type="spellEnd"/>
      <w:r w:rsidR="00A76B21">
        <w:rPr>
          <w:rFonts w:ascii="Times New Roman" w:hAnsi="Times New Roman" w:cs="Times New Roman"/>
          <w:sz w:val="24"/>
          <w:szCs w:val="24"/>
        </w:rPr>
        <w:t xml:space="preserve"> (TMT), Turkey / Cyprus, EOKA-B, Greece</w:t>
      </w:r>
    </w:p>
    <w:p w14:paraId="2B60C3B1" w14:textId="77777777"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A90DBA">
        <w:rPr>
          <w:rFonts w:ascii="Times New Roman" w:hAnsi="Times New Roman" w:cs="Times New Roman"/>
          <w:b/>
          <w:sz w:val="24"/>
          <w:szCs w:val="24"/>
        </w:rPr>
        <w:t>0</w:t>
      </w:r>
      <w:r w:rsidRPr="00F62BA4">
        <w:rPr>
          <w:rFonts w:ascii="Times New Roman" w:hAnsi="Times New Roman" w:cs="Times New Roman"/>
          <w:b/>
          <w:sz w:val="24"/>
          <w:szCs w:val="24"/>
        </w:rPr>
        <w:t xml:space="preserve">; Public Goods: </w:t>
      </w:r>
      <w:r w:rsidR="00A90DBA">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A90DBA">
        <w:rPr>
          <w:rFonts w:ascii="Times New Roman" w:hAnsi="Times New Roman" w:cs="Times New Roman"/>
          <w:b/>
          <w:sz w:val="24"/>
          <w:szCs w:val="24"/>
        </w:rPr>
        <w:t xml:space="preserve"> 0</w:t>
      </w:r>
    </w:p>
    <w:p w14:paraId="3A4023BC" w14:textId="77777777" w:rsidR="009F57DF" w:rsidRDefault="00A76B21">
      <w:pPr>
        <w:rPr>
          <w:rFonts w:ascii="Times New Roman" w:hAnsi="Times New Roman" w:cs="Times New Roman"/>
          <w:sz w:val="24"/>
          <w:szCs w:val="24"/>
        </w:rPr>
      </w:pPr>
      <w:r>
        <w:rPr>
          <w:rFonts w:ascii="Times New Roman" w:hAnsi="Times New Roman" w:cs="Times New Roman"/>
          <w:sz w:val="24"/>
          <w:szCs w:val="24"/>
        </w:rPr>
        <w:tab/>
        <w:t xml:space="preserve">Following a </w:t>
      </w:r>
      <w:r w:rsidR="00620BDE">
        <w:rPr>
          <w:rFonts w:ascii="Times New Roman" w:hAnsi="Times New Roman" w:cs="Times New Roman"/>
          <w:sz w:val="24"/>
          <w:szCs w:val="24"/>
        </w:rPr>
        <w:t>coup d’état to remove President Makarios III and install Nikos Sampson, Turkey invaded the northern portion of Cyprus, ultimately establishing de facto control of a substantial portion of the island.</w:t>
      </w:r>
      <w:r w:rsidR="00620BDE">
        <w:rPr>
          <w:rStyle w:val="FootnoteReference"/>
          <w:rFonts w:ascii="Times New Roman" w:hAnsi="Times New Roman" w:cs="Times New Roman"/>
          <w:sz w:val="24"/>
          <w:szCs w:val="24"/>
        </w:rPr>
        <w:footnoteReference w:id="25"/>
      </w:r>
      <w:r w:rsidR="00620BDE">
        <w:rPr>
          <w:rFonts w:ascii="Times New Roman" w:hAnsi="Times New Roman" w:cs="Times New Roman"/>
          <w:sz w:val="24"/>
          <w:szCs w:val="24"/>
        </w:rPr>
        <w:t xml:space="preserve"> </w:t>
      </w:r>
      <w:r w:rsidR="00627220">
        <w:rPr>
          <w:rFonts w:ascii="Times New Roman" w:hAnsi="Times New Roman" w:cs="Times New Roman"/>
          <w:sz w:val="24"/>
          <w:szCs w:val="24"/>
        </w:rPr>
        <w:t>Even more so than the Yemen civil war from 1962-1970, this was a war of proxies. Although some Cypriot organizations were involved, the conflict was primarily fought between EOKA-B, Greece, and Turkey.</w:t>
      </w:r>
      <w:r w:rsidR="00627220">
        <w:rPr>
          <w:rStyle w:val="FootnoteReference"/>
          <w:rFonts w:ascii="Times New Roman" w:hAnsi="Times New Roman" w:cs="Times New Roman"/>
          <w:sz w:val="24"/>
          <w:szCs w:val="24"/>
        </w:rPr>
        <w:footnoteReference w:id="26"/>
      </w:r>
    </w:p>
    <w:p w14:paraId="49A7B33F" w14:textId="77777777" w:rsidR="009F57DF" w:rsidRDefault="00A90DBA">
      <w:pPr>
        <w:rPr>
          <w:rFonts w:ascii="Times New Roman" w:hAnsi="Times New Roman" w:cs="Times New Roman"/>
          <w:sz w:val="24"/>
          <w:szCs w:val="24"/>
        </w:rPr>
      </w:pPr>
      <w:r>
        <w:rPr>
          <w:rFonts w:ascii="Times New Roman" w:hAnsi="Times New Roman" w:cs="Times New Roman"/>
          <w:sz w:val="24"/>
          <w:szCs w:val="24"/>
        </w:rPr>
        <w:tab/>
        <w:t>Ultimately, the occupied portion of the island declared itself to be an independent state.</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However, there was precious little governing going on during the conflict.</w:t>
      </w:r>
      <w:r w:rsidR="00CC719C">
        <w:rPr>
          <w:rFonts w:ascii="Times New Roman" w:hAnsi="Times New Roman" w:cs="Times New Roman"/>
          <w:sz w:val="24"/>
          <w:szCs w:val="24"/>
        </w:rPr>
        <w:t xml:space="preserve"> </w:t>
      </w:r>
      <w:proofErr w:type="spellStart"/>
      <w:r w:rsidR="00CC719C">
        <w:rPr>
          <w:rFonts w:ascii="Times New Roman" w:hAnsi="Times New Roman" w:cs="Times New Roman"/>
          <w:sz w:val="24"/>
          <w:szCs w:val="24"/>
        </w:rPr>
        <w:t>Cypyus’s</w:t>
      </w:r>
      <w:proofErr w:type="spellEnd"/>
      <w:r w:rsidR="00CC719C">
        <w:rPr>
          <w:rFonts w:ascii="Times New Roman" w:hAnsi="Times New Roman" w:cs="Times New Roman"/>
          <w:sz w:val="24"/>
          <w:szCs w:val="24"/>
        </w:rPr>
        <w:t xml:space="preserve"> own administration was being supplemented by foreign intervention, particularly (although not exclusively) by Britain.</w:t>
      </w:r>
      <w:r w:rsidR="00CC719C">
        <w:rPr>
          <w:rStyle w:val="FootnoteReference"/>
          <w:rFonts w:ascii="Times New Roman" w:hAnsi="Times New Roman" w:cs="Times New Roman"/>
          <w:sz w:val="24"/>
          <w:szCs w:val="24"/>
        </w:rPr>
        <w:footnoteReference w:id="28"/>
      </w:r>
      <w:r w:rsidR="002743A4">
        <w:rPr>
          <w:rFonts w:ascii="Times New Roman" w:hAnsi="Times New Roman" w:cs="Times New Roman"/>
          <w:sz w:val="24"/>
          <w:szCs w:val="24"/>
        </w:rPr>
        <w:t xml:space="preserve"> Given these facts, it is unsurprising that TMT rebels, themselves conducted by Ankara’s government, did little (if any) governing themselves.</w:t>
      </w:r>
      <w:r w:rsidR="002743A4">
        <w:rPr>
          <w:rStyle w:val="FootnoteReference"/>
          <w:rFonts w:ascii="Times New Roman" w:hAnsi="Times New Roman" w:cs="Times New Roman"/>
          <w:sz w:val="24"/>
          <w:szCs w:val="24"/>
        </w:rPr>
        <w:footnoteReference w:id="29"/>
      </w:r>
    </w:p>
    <w:p w14:paraId="41944A75" w14:textId="77777777" w:rsidR="009F57DF" w:rsidRDefault="009F57DF">
      <w:pPr>
        <w:rPr>
          <w:rFonts w:ascii="Times New Roman" w:hAnsi="Times New Roman" w:cs="Times New Roman"/>
          <w:b/>
          <w:sz w:val="24"/>
          <w:szCs w:val="24"/>
        </w:rPr>
      </w:pPr>
      <w:r>
        <w:rPr>
          <w:rFonts w:ascii="Times New Roman" w:hAnsi="Times New Roman" w:cs="Times New Roman"/>
          <w:b/>
          <w:sz w:val="24"/>
          <w:szCs w:val="24"/>
        </w:rPr>
        <w:t>Democratic Republic of the Congo (1977-1978)</w:t>
      </w:r>
    </w:p>
    <w:p w14:paraId="70F94AC9"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t xml:space="preserve">Rebels / Incumbents: </w:t>
      </w:r>
      <w:r w:rsidR="00125AB0">
        <w:rPr>
          <w:rFonts w:ascii="Times New Roman" w:hAnsi="Times New Roman" w:cs="Times New Roman"/>
          <w:sz w:val="24"/>
          <w:szCs w:val="24"/>
        </w:rPr>
        <w:t>Front for the National Liberation of Congo (F</w:t>
      </w:r>
      <w:r w:rsidR="003D3B44">
        <w:rPr>
          <w:rFonts w:ascii="Times New Roman" w:hAnsi="Times New Roman" w:cs="Times New Roman"/>
          <w:sz w:val="24"/>
          <w:szCs w:val="24"/>
        </w:rPr>
        <w:t>LN</w:t>
      </w:r>
      <w:r w:rsidR="00125AB0">
        <w:rPr>
          <w:rFonts w:ascii="Times New Roman" w:hAnsi="Times New Roman" w:cs="Times New Roman"/>
          <w:sz w:val="24"/>
          <w:szCs w:val="24"/>
        </w:rPr>
        <w:t>C) / Zaire</w:t>
      </w:r>
    </w:p>
    <w:p w14:paraId="26B6EA85" w14:textId="77777777"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C357F8">
        <w:rPr>
          <w:rFonts w:ascii="Times New Roman" w:hAnsi="Times New Roman" w:cs="Times New Roman"/>
          <w:b/>
          <w:sz w:val="24"/>
          <w:szCs w:val="24"/>
        </w:rPr>
        <w:t>0</w:t>
      </w:r>
      <w:r w:rsidRPr="00F62BA4">
        <w:rPr>
          <w:rFonts w:ascii="Times New Roman" w:hAnsi="Times New Roman" w:cs="Times New Roman"/>
          <w:b/>
          <w:sz w:val="24"/>
          <w:szCs w:val="24"/>
        </w:rPr>
        <w:t xml:space="preserve">; Public Goods: </w:t>
      </w:r>
      <w:r w:rsidR="00C357F8">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C357F8">
        <w:rPr>
          <w:rFonts w:ascii="Times New Roman" w:hAnsi="Times New Roman" w:cs="Times New Roman"/>
          <w:b/>
          <w:sz w:val="24"/>
          <w:szCs w:val="24"/>
        </w:rPr>
        <w:t xml:space="preserve"> 0</w:t>
      </w:r>
    </w:p>
    <w:p w14:paraId="524FC090" w14:textId="77777777" w:rsidR="009F57DF" w:rsidRDefault="003D3B44">
      <w:pPr>
        <w:rPr>
          <w:rFonts w:ascii="Times New Roman" w:hAnsi="Times New Roman" w:cs="Times New Roman"/>
          <w:sz w:val="24"/>
          <w:szCs w:val="24"/>
        </w:rPr>
      </w:pPr>
      <w:r>
        <w:rPr>
          <w:rFonts w:ascii="Times New Roman" w:hAnsi="Times New Roman" w:cs="Times New Roman"/>
          <w:sz w:val="24"/>
          <w:szCs w:val="24"/>
        </w:rPr>
        <w:tab/>
        <w:t xml:space="preserve">The brief conflict (or conflicts) in what is now the Democratic Republic of Congo began in Angola with the formation of the FLNC by Nathaniel </w:t>
      </w:r>
      <w:proofErr w:type="spellStart"/>
      <w:r>
        <w:rPr>
          <w:rFonts w:ascii="Times New Roman" w:hAnsi="Times New Roman" w:cs="Times New Roman"/>
          <w:sz w:val="24"/>
          <w:szCs w:val="24"/>
        </w:rPr>
        <w:t>Mbumba</w:t>
      </w:r>
      <w:proofErr w:type="spellEnd"/>
      <w:r>
        <w:rPr>
          <w:rFonts w:ascii="Times New Roman" w:hAnsi="Times New Roman" w:cs="Times New Roman"/>
          <w:sz w:val="24"/>
          <w:szCs w:val="24"/>
        </w:rPr>
        <w:t>, a former police commissioner in Shaba just prior to the conflict.</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Zaire emerged victorious, but only after being bested in the field by the rebels. Thanks to </w:t>
      </w:r>
      <w:r w:rsidR="00062C4A">
        <w:rPr>
          <w:rFonts w:ascii="Times New Roman" w:hAnsi="Times New Roman" w:cs="Times New Roman"/>
          <w:sz w:val="24"/>
          <w:szCs w:val="24"/>
        </w:rPr>
        <w:t>foreign intervention, Mobutu’s Zaire was preserved.</w:t>
      </w:r>
      <w:r w:rsidR="00062C4A">
        <w:rPr>
          <w:rStyle w:val="FootnoteReference"/>
          <w:rFonts w:ascii="Times New Roman" w:hAnsi="Times New Roman" w:cs="Times New Roman"/>
          <w:sz w:val="24"/>
          <w:szCs w:val="24"/>
        </w:rPr>
        <w:footnoteReference w:id="31"/>
      </w:r>
    </w:p>
    <w:p w14:paraId="589B42C1" w14:textId="77777777" w:rsidR="000559EC" w:rsidRDefault="000559EC">
      <w:pPr>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It appears as though</w:t>
      </w:r>
      <w:proofErr w:type="gramEnd"/>
      <w:r>
        <w:rPr>
          <w:rFonts w:ascii="Times New Roman" w:hAnsi="Times New Roman" w:cs="Times New Roman"/>
          <w:sz w:val="24"/>
          <w:szCs w:val="24"/>
        </w:rPr>
        <w:t xml:space="preserve"> </w:t>
      </w:r>
      <w:r w:rsidR="00C357F8">
        <w:rPr>
          <w:rFonts w:ascii="Times New Roman" w:hAnsi="Times New Roman" w:cs="Times New Roman"/>
          <w:sz w:val="24"/>
          <w:szCs w:val="24"/>
        </w:rPr>
        <w:t>there was hardly an opportunity to govern, much less a political ideology or program from which to model such governance. In addition</w:t>
      </w:r>
      <w:r w:rsidR="009B6067">
        <w:rPr>
          <w:rFonts w:ascii="Times New Roman" w:hAnsi="Times New Roman" w:cs="Times New Roman"/>
          <w:sz w:val="24"/>
          <w:szCs w:val="24"/>
        </w:rPr>
        <w:t xml:space="preserve"> to</w:t>
      </w:r>
      <w:r w:rsidR="00C357F8">
        <w:rPr>
          <w:rFonts w:ascii="Times New Roman" w:hAnsi="Times New Roman" w:cs="Times New Roman"/>
          <w:sz w:val="24"/>
          <w:szCs w:val="24"/>
        </w:rPr>
        <w:t xml:space="preserve"> the conflict’s brevity, the group held a small amount of territory for a vanishingly small </w:t>
      </w:r>
      <w:proofErr w:type="gramStart"/>
      <w:r w:rsidR="00C357F8">
        <w:rPr>
          <w:rFonts w:ascii="Times New Roman" w:hAnsi="Times New Roman" w:cs="Times New Roman"/>
          <w:sz w:val="24"/>
          <w:szCs w:val="24"/>
        </w:rPr>
        <w:t>period of time</w:t>
      </w:r>
      <w:proofErr w:type="gramEnd"/>
      <w:r w:rsidR="00C357F8">
        <w:rPr>
          <w:rFonts w:ascii="Times New Roman" w:hAnsi="Times New Roman" w:cs="Times New Roman"/>
          <w:sz w:val="24"/>
          <w:szCs w:val="24"/>
        </w:rPr>
        <w:t>.</w:t>
      </w:r>
      <w:r w:rsidR="00C357F8">
        <w:rPr>
          <w:rStyle w:val="FootnoteReference"/>
          <w:rFonts w:ascii="Times New Roman" w:hAnsi="Times New Roman" w:cs="Times New Roman"/>
          <w:sz w:val="24"/>
          <w:szCs w:val="24"/>
        </w:rPr>
        <w:footnoteReference w:id="32"/>
      </w:r>
      <w:r w:rsidR="00C357F8">
        <w:rPr>
          <w:rFonts w:ascii="Times New Roman" w:hAnsi="Times New Roman" w:cs="Times New Roman"/>
          <w:sz w:val="24"/>
          <w:szCs w:val="24"/>
        </w:rPr>
        <w:t xml:space="preserve"> It also appears that the group had </w:t>
      </w:r>
      <w:r w:rsidR="00AA6C86">
        <w:rPr>
          <w:rFonts w:ascii="Times New Roman" w:hAnsi="Times New Roman" w:cs="Times New Roman"/>
          <w:sz w:val="24"/>
          <w:szCs w:val="24"/>
        </w:rPr>
        <w:t>little</w:t>
      </w:r>
      <w:r w:rsidR="00C357F8">
        <w:rPr>
          <w:rFonts w:ascii="Times New Roman" w:hAnsi="Times New Roman" w:cs="Times New Roman"/>
          <w:sz w:val="24"/>
          <w:szCs w:val="24"/>
        </w:rPr>
        <w:t xml:space="preserve"> ideology to speak of. There is a mention of being broadly aligned with Laurent Kabila, but even this source does not deny that the group had no political ideology or program.</w:t>
      </w:r>
      <w:r w:rsidR="00C357F8">
        <w:rPr>
          <w:rStyle w:val="FootnoteReference"/>
          <w:rFonts w:ascii="Times New Roman" w:hAnsi="Times New Roman" w:cs="Times New Roman"/>
          <w:sz w:val="24"/>
          <w:szCs w:val="24"/>
        </w:rPr>
        <w:footnoteReference w:id="33"/>
      </w:r>
      <w:r w:rsidR="00AA6C86">
        <w:rPr>
          <w:rFonts w:ascii="Times New Roman" w:hAnsi="Times New Roman" w:cs="Times New Roman"/>
          <w:sz w:val="24"/>
          <w:szCs w:val="24"/>
        </w:rPr>
        <w:t xml:space="preserve"> Others argue that, due to its </w:t>
      </w:r>
      <w:r w:rsidR="009B6067">
        <w:rPr>
          <w:rFonts w:ascii="Times New Roman" w:hAnsi="Times New Roman" w:cs="Times New Roman"/>
          <w:sz w:val="24"/>
          <w:szCs w:val="24"/>
        </w:rPr>
        <w:t xml:space="preserve">genesis in Angola, that the group’s adoption of </w:t>
      </w:r>
      <w:proofErr w:type="spellStart"/>
      <w:r w:rsidR="009B6067">
        <w:rPr>
          <w:rFonts w:ascii="Times New Roman" w:hAnsi="Times New Roman" w:cs="Times New Roman"/>
          <w:sz w:val="24"/>
          <w:szCs w:val="24"/>
        </w:rPr>
        <w:t>Marzist</w:t>
      </w:r>
      <w:proofErr w:type="spellEnd"/>
      <w:r w:rsidR="009B6067">
        <w:rPr>
          <w:rFonts w:ascii="Times New Roman" w:hAnsi="Times New Roman" w:cs="Times New Roman"/>
          <w:sz w:val="24"/>
          <w:szCs w:val="24"/>
        </w:rPr>
        <w:t xml:space="preserve"> rhetoric in 1978 signaled a leftist agenda, but contemporary experts agreed that this was a group held together by tribal solidarity and esprit de corps, not ideological solidarity.</w:t>
      </w:r>
      <w:r w:rsidR="009B6067">
        <w:rPr>
          <w:rStyle w:val="FootnoteReference"/>
          <w:rFonts w:ascii="Times New Roman" w:hAnsi="Times New Roman" w:cs="Times New Roman"/>
          <w:sz w:val="24"/>
          <w:szCs w:val="24"/>
        </w:rPr>
        <w:footnoteReference w:id="34"/>
      </w:r>
      <w:r w:rsidR="00D716C4">
        <w:rPr>
          <w:rFonts w:ascii="Times New Roman" w:hAnsi="Times New Roman" w:cs="Times New Roman"/>
          <w:sz w:val="24"/>
          <w:szCs w:val="24"/>
        </w:rPr>
        <w:t xml:space="preserve"> </w:t>
      </w:r>
      <w:r w:rsidR="009B6067">
        <w:rPr>
          <w:rFonts w:ascii="Times New Roman" w:hAnsi="Times New Roman" w:cs="Times New Roman"/>
          <w:sz w:val="24"/>
          <w:szCs w:val="24"/>
        </w:rPr>
        <w:t>Regardless,</w:t>
      </w:r>
      <w:r w:rsidR="00D716C4">
        <w:rPr>
          <w:rFonts w:ascii="Times New Roman" w:hAnsi="Times New Roman" w:cs="Times New Roman"/>
          <w:sz w:val="24"/>
          <w:szCs w:val="24"/>
        </w:rPr>
        <w:t xml:space="preserve"> it was generally believed that the FLNC did not represent local interests.</w:t>
      </w:r>
      <w:r w:rsidR="00D716C4">
        <w:rPr>
          <w:rStyle w:val="FootnoteReference"/>
          <w:rFonts w:ascii="Times New Roman" w:hAnsi="Times New Roman" w:cs="Times New Roman"/>
          <w:sz w:val="24"/>
          <w:szCs w:val="24"/>
        </w:rPr>
        <w:footnoteReference w:id="35"/>
      </w:r>
    </w:p>
    <w:p w14:paraId="575CDC46" w14:textId="77777777" w:rsidR="009F57DF" w:rsidRDefault="009F57DF">
      <w:pPr>
        <w:rPr>
          <w:rFonts w:ascii="Times New Roman" w:hAnsi="Times New Roman" w:cs="Times New Roman"/>
          <w:b/>
          <w:sz w:val="24"/>
          <w:szCs w:val="24"/>
        </w:rPr>
      </w:pPr>
      <w:r>
        <w:rPr>
          <w:rFonts w:ascii="Times New Roman" w:hAnsi="Times New Roman" w:cs="Times New Roman"/>
          <w:b/>
          <w:sz w:val="24"/>
          <w:szCs w:val="24"/>
        </w:rPr>
        <w:t>Iran (1978-1979)</w:t>
      </w:r>
    </w:p>
    <w:p w14:paraId="207B546E"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t>Rebels / Incumbents:</w:t>
      </w:r>
      <w:r w:rsidR="001A45C5">
        <w:rPr>
          <w:rFonts w:ascii="Times New Roman" w:hAnsi="Times New Roman" w:cs="Times New Roman"/>
          <w:sz w:val="24"/>
          <w:szCs w:val="24"/>
        </w:rPr>
        <w:t xml:space="preserve"> Wide variety of opposition groups, ultimately allying with Ruhollah Khomeini</w:t>
      </w:r>
      <w:r>
        <w:rPr>
          <w:rFonts w:ascii="Times New Roman" w:hAnsi="Times New Roman" w:cs="Times New Roman"/>
          <w:sz w:val="24"/>
          <w:szCs w:val="24"/>
        </w:rPr>
        <w:t xml:space="preserve"> </w:t>
      </w:r>
      <w:r w:rsidR="001A45C5">
        <w:rPr>
          <w:rFonts w:ascii="Times New Roman" w:hAnsi="Times New Roman" w:cs="Times New Roman"/>
          <w:sz w:val="24"/>
          <w:szCs w:val="24"/>
        </w:rPr>
        <w:t>/ Imperial Iran</w:t>
      </w:r>
    </w:p>
    <w:p w14:paraId="3662C220" w14:textId="77777777"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590002">
        <w:rPr>
          <w:rFonts w:ascii="Times New Roman" w:hAnsi="Times New Roman" w:cs="Times New Roman"/>
          <w:b/>
          <w:sz w:val="24"/>
          <w:szCs w:val="24"/>
        </w:rPr>
        <w:t>0</w:t>
      </w:r>
      <w:r w:rsidRPr="00F62BA4">
        <w:rPr>
          <w:rFonts w:ascii="Times New Roman" w:hAnsi="Times New Roman" w:cs="Times New Roman"/>
          <w:b/>
          <w:sz w:val="24"/>
          <w:szCs w:val="24"/>
        </w:rPr>
        <w:t xml:space="preserve">; Public Goods: </w:t>
      </w:r>
      <w:r w:rsidR="00590002">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590002">
        <w:rPr>
          <w:rFonts w:ascii="Times New Roman" w:hAnsi="Times New Roman" w:cs="Times New Roman"/>
          <w:b/>
          <w:sz w:val="24"/>
          <w:szCs w:val="24"/>
        </w:rPr>
        <w:t xml:space="preserve"> 0</w:t>
      </w:r>
    </w:p>
    <w:p w14:paraId="05BE0804" w14:textId="77777777" w:rsidR="001A45C5" w:rsidRDefault="001A45C5">
      <w:pPr>
        <w:rPr>
          <w:rFonts w:ascii="Times New Roman" w:hAnsi="Times New Roman" w:cs="Times New Roman"/>
          <w:sz w:val="24"/>
          <w:szCs w:val="24"/>
        </w:rPr>
      </w:pPr>
      <w:r>
        <w:rPr>
          <w:rFonts w:ascii="Times New Roman" w:hAnsi="Times New Roman" w:cs="Times New Roman"/>
          <w:sz w:val="24"/>
          <w:szCs w:val="24"/>
        </w:rPr>
        <w:tab/>
        <w:t xml:space="preserve">The Iranian Revolution </w:t>
      </w:r>
      <w:r w:rsidR="00CD6213">
        <w:rPr>
          <w:rFonts w:ascii="Times New Roman" w:hAnsi="Times New Roman" w:cs="Times New Roman"/>
          <w:sz w:val="24"/>
          <w:szCs w:val="24"/>
        </w:rPr>
        <w:t>brought a multitude of groups together in opposition of the incumbent Shah</w:t>
      </w:r>
      <w:r w:rsidR="00B33C6E">
        <w:rPr>
          <w:rFonts w:ascii="Times New Roman" w:hAnsi="Times New Roman" w:cs="Times New Roman"/>
          <w:sz w:val="24"/>
          <w:szCs w:val="24"/>
        </w:rPr>
        <w:t xml:space="preserve"> Mohammed</w:t>
      </w:r>
      <w:r w:rsidR="00CD6213">
        <w:rPr>
          <w:rFonts w:ascii="Times New Roman" w:hAnsi="Times New Roman" w:cs="Times New Roman"/>
          <w:sz w:val="24"/>
          <w:szCs w:val="24"/>
        </w:rPr>
        <w:t xml:space="preserve"> Reza Pahlavi. Many of the groups held mutually exclusive ideologies</w:t>
      </w:r>
      <w:r w:rsidR="00AA092A">
        <w:rPr>
          <w:rFonts w:ascii="Times New Roman" w:hAnsi="Times New Roman" w:cs="Times New Roman"/>
          <w:sz w:val="24"/>
          <w:szCs w:val="24"/>
        </w:rPr>
        <w:t>.</w:t>
      </w:r>
      <w:r w:rsidR="00CD6213">
        <w:rPr>
          <w:rStyle w:val="FootnoteReference"/>
          <w:rFonts w:ascii="Times New Roman" w:hAnsi="Times New Roman" w:cs="Times New Roman"/>
          <w:sz w:val="24"/>
          <w:szCs w:val="24"/>
        </w:rPr>
        <w:footnoteReference w:id="36"/>
      </w:r>
      <w:r w:rsidR="00B33C6E">
        <w:rPr>
          <w:rFonts w:ascii="Times New Roman" w:hAnsi="Times New Roman" w:cs="Times New Roman"/>
          <w:sz w:val="24"/>
          <w:szCs w:val="24"/>
        </w:rPr>
        <w:t xml:space="preserve"> </w:t>
      </w:r>
      <w:r w:rsidR="00AA092A">
        <w:rPr>
          <w:rFonts w:ascii="Times New Roman" w:hAnsi="Times New Roman" w:cs="Times New Roman"/>
          <w:sz w:val="24"/>
          <w:szCs w:val="24"/>
        </w:rPr>
        <w:t>The incumbent regime’s dictatorial, militarized, personalistic, corrupt, and unpopular.</w:t>
      </w:r>
      <w:r w:rsidR="00AA092A">
        <w:rPr>
          <w:rStyle w:val="FootnoteReference"/>
          <w:rFonts w:ascii="Times New Roman" w:hAnsi="Times New Roman" w:cs="Times New Roman"/>
          <w:sz w:val="24"/>
          <w:szCs w:val="24"/>
        </w:rPr>
        <w:footnoteReference w:id="37"/>
      </w:r>
      <w:r w:rsidR="00AA092A">
        <w:rPr>
          <w:rFonts w:ascii="Times New Roman" w:hAnsi="Times New Roman" w:cs="Times New Roman"/>
          <w:sz w:val="24"/>
          <w:szCs w:val="24"/>
        </w:rPr>
        <w:t xml:space="preserve"> Its visible connection to foreign powers only made these flaws more damning, allowing the revolutionary movement to sublimate contradictions among the various opposition groups toward the united hatred of the shah.</w:t>
      </w:r>
    </w:p>
    <w:p w14:paraId="66463261" w14:textId="77777777" w:rsidR="00AA092A" w:rsidRDefault="00F76D3A">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“war” is best remembered as a protest movement, although there was ample violence, both by police and SAVAK secret police agents</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and by anti-shah rebels.</w:t>
      </w:r>
      <w:r w:rsidR="00590002">
        <w:rPr>
          <w:rStyle w:val="FootnoteReference"/>
          <w:rFonts w:ascii="Times New Roman" w:hAnsi="Times New Roman" w:cs="Times New Roman"/>
          <w:sz w:val="24"/>
          <w:szCs w:val="24"/>
        </w:rPr>
        <w:footnoteReference w:id="39"/>
      </w:r>
      <w:r w:rsidR="00590002">
        <w:rPr>
          <w:rFonts w:ascii="Times New Roman" w:hAnsi="Times New Roman" w:cs="Times New Roman"/>
          <w:sz w:val="24"/>
          <w:szCs w:val="24"/>
        </w:rPr>
        <w:t xml:space="preserve"> Many were concerned that the real civil war would begin once the contradictions among the various opposition groups were allowed to come to the fore,</w:t>
      </w:r>
      <w:r w:rsidR="00590002">
        <w:rPr>
          <w:rStyle w:val="FootnoteReference"/>
          <w:rFonts w:ascii="Times New Roman" w:hAnsi="Times New Roman" w:cs="Times New Roman"/>
          <w:sz w:val="24"/>
          <w:szCs w:val="24"/>
        </w:rPr>
        <w:footnoteReference w:id="40"/>
      </w:r>
      <w:r w:rsidR="00590002">
        <w:rPr>
          <w:rFonts w:ascii="Times New Roman" w:hAnsi="Times New Roman" w:cs="Times New Roman"/>
          <w:sz w:val="24"/>
          <w:szCs w:val="24"/>
        </w:rPr>
        <w:t xml:space="preserve"> forcing a reckoning regarding what sort of </w:t>
      </w:r>
      <w:r w:rsidR="00590002">
        <w:rPr>
          <w:rFonts w:ascii="Times New Roman" w:hAnsi="Times New Roman" w:cs="Times New Roman"/>
          <w:sz w:val="24"/>
          <w:szCs w:val="24"/>
        </w:rPr>
        <w:lastRenderedPageBreak/>
        <w:t>state post-revolution Iran would be.</w:t>
      </w:r>
      <w:r w:rsidR="00590002">
        <w:rPr>
          <w:rStyle w:val="FootnoteReference"/>
          <w:rFonts w:ascii="Times New Roman" w:hAnsi="Times New Roman" w:cs="Times New Roman"/>
          <w:sz w:val="24"/>
          <w:szCs w:val="24"/>
        </w:rPr>
        <w:footnoteReference w:id="41"/>
      </w:r>
      <w:r w:rsidR="00797BD6">
        <w:rPr>
          <w:rFonts w:ascii="Times New Roman" w:hAnsi="Times New Roman" w:cs="Times New Roman"/>
          <w:sz w:val="24"/>
          <w:szCs w:val="24"/>
        </w:rPr>
        <w:t xml:space="preserve"> While this reckoning did indeed come about,</w:t>
      </w:r>
      <w:r w:rsidR="00797BD6">
        <w:rPr>
          <w:rStyle w:val="FootnoteReference"/>
          <w:rFonts w:ascii="Times New Roman" w:hAnsi="Times New Roman" w:cs="Times New Roman"/>
          <w:sz w:val="24"/>
          <w:szCs w:val="24"/>
        </w:rPr>
        <w:footnoteReference w:id="42"/>
      </w:r>
      <w:r w:rsidR="00797BD6">
        <w:rPr>
          <w:rFonts w:ascii="Times New Roman" w:hAnsi="Times New Roman" w:cs="Times New Roman"/>
          <w:sz w:val="24"/>
          <w:szCs w:val="24"/>
        </w:rPr>
        <w:t xml:space="preserve"> the revolution itself did not display many attributes associated with rebel governance.</w:t>
      </w:r>
    </w:p>
    <w:p w14:paraId="2E07A488" w14:textId="77777777" w:rsidR="00797BD6" w:rsidRPr="00F76D3A" w:rsidRDefault="00797BD6">
      <w:pPr>
        <w:rPr>
          <w:rFonts w:ascii="Times New Roman" w:hAnsi="Times New Roman" w:cs="Times New Roman"/>
          <w:sz w:val="24"/>
          <w:szCs w:val="24"/>
        </w:rPr>
      </w:pPr>
      <w:r>
        <w:rPr>
          <w:rFonts w:ascii="Times New Roman" w:hAnsi="Times New Roman" w:cs="Times New Roman"/>
          <w:sz w:val="24"/>
          <w:szCs w:val="24"/>
        </w:rPr>
        <w:tab/>
        <w:t>This should not be terribly surprising. Iran faced a serious economic crisis which, given its unpopularity and weakness, meant that militarized conflict was unnecessary to force the regime to collapse.</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As such, Imperial Iran was not so much conquered as the Shah was defenestrated</w:t>
      </w:r>
      <w:r w:rsidR="00250B9E">
        <w:rPr>
          <w:rFonts w:ascii="Times New Roman" w:hAnsi="Times New Roman" w:cs="Times New Roman"/>
          <w:sz w:val="24"/>
          <w:szCs w:val="24"/>
        </w:rPr>
        <w:t>.</w:t>
      </w:r>
      <w:r>
        <w:rPr>
          <w:rFonts w:ascii="Times New Roman" w:hAnsi="Times New Roman" w:cs="Times New Roman"/>
          <w:sz w:val="24"/>
          <w:szCs w:val="24"/>
        </w:rPr>
        <w:t xml:space="preserve"> </w:t>
      </w:r>
      <w:r w:rsidR="00A935E6">
        <w:rPr>
          <w:rFonts w:ascii="Times New Roman" w:hAnsi="Times New Roman" w:cs="Times New Roman"/>
          <w:sz w:val="24"/>
          <w:szCs w:val="24"/>
        </w:rPr>
        <w:t>Iran as a state, with its robust oil revenues, survived the revolution.</w:t>
      </w:r>
    </w:p>
    <w:p w14:paraId="763FC175" w14:textId="77777777" w:rsidR="009F57DF" w:rsidRDefault="009F57DF">
      <w:pPr>
        <w:rPr>
          <w:rFonts w:ascii="Times New Roman" w:hAnsi="Times New Roman" w:cs="Times New Roman"/>
          <w:b/>
          <w:sz w:val="24"/>
          <w:szCs w:val="24"/>
        </w:rPr>
      </w:pPr>
      <w:r>
        <w:rPr>
          <w:rFonts w:ascii="Times New Roman" w:hAnsi="Times New Roman" w:cs="Times New Roman"/>
          <w:b/>
          <w:sz w:val="24"/>
          <w:szCs w:val="24"/>
        </w:rPr>
        <w:t>Iraq (1961-1970)</w:t>
      </w:r>
    </w:p>
    <w:p w14:paraId="06ED8D5C"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t xml:space="preserve">Rebels / Incumbents: </w:t>
      </w:r>
      <w:r w:rsidR="009E3722">
        <w:rPr>
          <w:rFonts w:ascii="Times New Roman" w:hAnsi="Times New Roman" w:cs="Times New Roman"/>
          <w:sz w:val="24"/>
          <w:szCs w:val="24"/>
        </w:rPr>
        <w:t>Kurdish Democratic Party (KDP) / Iraq</w:t>
      </w:r>
    </w:p>
    <w:p w14:paraId="6254AC9B" w14:textId="77777777" w:rsidR="009F57DF" w:rsidRPr="0038175B" w:rsidRDefault="009F57DF" w:rsidP="009F57DF">
      <w:pPr>
        <w:rPr>
          <w:rFonts w:ascii="Times New Roman" w:hAnsi="Times New Roman" w:cs="Times New Roman"/>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A11E12">
        <w:rPr>
          <w:rFonts w:ascii="Times New Roman" w:hAnsi="Times New Roman" w:cs="Times New Roman"/>
          <w:b/>
          <w:sz w:val="24"/>
          <w:szCs w:val="24"/>
        </w:rPr>
        <w:t>2</w:t>
      </w:r>
      <w:r w:rsidRPr="00F62BA4">
        <w:rPr>
          <w:rFonts w:ascii="Times New Roman" w:hAnsi="Times New Roman" w:cs="Times New Roman"/>
          <w:b/>
          <w:sz w:val="24"/>
          <w:szCs w:val="24"/>
        </w:rPr>
        <w:t xml:space="preserve">; Public Goods: </w:t>
      </w:r>
      <w:r w:rsidR="00457780">
        <w:rPr>
          <w:rFonts w:ascii="Times New Roman" w:hAnsi="Times New Roman" w:cs="Times New Roman"/>
          <w:b/>
          <w:sz w:val="24"/>
          <w:szCs w:val="24"/>
        </w:rPr>
        <w:t>1</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38175B">
        <w:rPr>
          <w:rFonts w:ascii="Times New Roman" w:hAnsi="Times New Roman" w:cs="Times New Roman"/>
          <w:b/>
          <w:sz w:val="24"/>
          <w:szCs w:val="24"/>
        </w:rPr>
        <w:t xml:space="preserve"> 1</w:t>
      </w:r>
    </w:p>
    <w:p w14:paraId="656E9A43" w14:textId="77777777" w:rsidR="00484396" w:rsidRDefault="009E3722">
      <w:pPr>
        <w:rPr>
          <w:rFonts w:ascii="Times New Roman" w:hAnsi="Times New Roman" w:cs="Times New Roman"/>
          <w:sz w:val="24"/>
          <w:szCs w:val="24"/>
        </w:rPr>
      </w:pPr>
      <w:r>
        <w:rPr>
          <w:rFonts w:ascii="Times New Roman" w:hAnsi="Times New Roman" w:cs="Times New Roman"/>
          <w:sz w:val="24"/>
          <w:szCs w:val="24"/>
        </w:rPr>
        <w:tab/>
        <w:t>Upon overthrowing the Iraqi monarchy in 1958,</w:t>
      </w:r>
      <w:r w:rsidRPr="009E3722">
        <w:rPr>
          <w:rFonts w:ascii="Times New Roman" w:hAnsi="Times New Roman" w:cs="Times New Roman"/>
          <w:sz w:val="24"/>
          <w:szCs w:val="24"/>
        </w:rPr>
        <w:t xml:space="preserve"> General Abd al-Karim </w:t>
      </w:r>
      <w:proofErr w:type="spellStart"/>
      <w:r w:rsidRPr="009E3722">
        <w:rPr>
          <w:rFonts w:ascii="Times New Roman" w:hAnsi="Times New Roman" w:cs="Times New Roman"/>
          <w:sz w:val="24"/>
          <w:szCs w:val="24"/>
        </w:rPr>
        <w:t>Qa</w:t>
      </w:r>
      <w:r>
        <w:rPr>
          <w:rFonts w:ascii="Times New Roman" w:hAnsi="Times New Roman" w:cs="Times New Roman"/>
          <w:sz w:val="24"/>
          <w:szCs w:val="24"/>
        </w:rPr>
        <w:t>sim</w:t>
      </w:r>
      <w:proofErr w:type="spellEnd"/>
      <w:r>
        <w:rPr>
          <w:rFonts w:ascii="Times New Roman" w:hAnsi="Times New Roman" w:cs="Times New Roman"/>
          <w:sz w:val="24"/>
          <w:szCs w:val="24"/>
        </w:rPr>
        <w:t xml:space="preserve"> immediately emphasized Kurdish equality with Arabs, both officially and unofficially. This honeymoon would not last long, even as the KDP (sometimes referred to as the DPK) established itself in Iraq. In 1960, the party was declared illegal and the war began in earnest the following year. Despite a relative lack of materiel, Kurdish forces were able to best Iraqis in their engagements, leading </w:t>
      </w:r>
      <w:proofErr w:type="spellStart"/>
      <w:r>
        <w:rPr>
          <w:rFonts w:ascii="Times New Roman" w:hAnsi="Times New Roman" w:cs="Times New Roman"/>
          <w:sz w:val="24"/>
          <w:szCs w:val="24"/>
        </w:rPr>
        <w:t>Qasim</w:t>
      </w:r>
      <w:proofErr w:type="spellEnd"/>
      <w:r>
        <w:rPr>
          <w:rFonts w:ascii="Times New Roman" w:hAnsi="Times New Roman" w:cs="Times New Roman"/>
          <w:sz w:val="24"/>
          <w:szCs w:val="24"/>
        </w:rPr>
        <w:t xml:space="preserve"> to employ overwhelming force (especially by way of the air force) upon his former partners.</w:t>
      </w:r>
      <w:r>
        <w:rPr>
          <w:rStyle w:val="FootnoteReference"/>
          <w:rFonts w:ascii="Times New Roman" w:hAnsi="Times New Roman" w:cs="Times New Roman"/>
          <w:sz w:val="24"/>
          <w:szCs w:val="24"/>
        </w:rPr>
        <w:footnoteReference w:id="44"/>
      </w:r>
    </w:p>
    <w:p w14:paraId="5F20E204" w14:textId="77777777" w:rsidR="009E3722" w:rsidRDefault="009E3722" w:rsidP="009E3722">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It appears as though</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Qasim’s</w:t>
      </w:r>
      <w:proofErr w:type="spellEnd"/>
      <w:r>
        <w:rPr>
          <w:rFonts w:ascii="Times New Roman" w:hAnsi="Times New Roman" w:cs="Times New Roman"/>
          <w:sz w:val="24"/>
          <w:szCs w:val="24"/>
        </w:rPr>
        <w:t xml:space="preserve"> use of indiscriminate force strengthened the Kurds’ resolve</w:t>
      </w:r>
      <w:r w:rsidR="00B009E1">
        <w:rPr>
          <w:rFonts w:ascii="Times New Roman" w:hAnsi="Times New Roman" w:cs="Times New Roman"/>
          <w:sz w:val="24"/>
          <w:szCs w:val="24"/>
        </w:rPr>
        <w:t xml:space="preserve">. This appears to have been a significant development, </w:t>
      </w:r>
      <w:r w:rsidR="000C12AE">
        <w:rPr>
          <w:rFonts w:ascii="Times New Roman" w:hAnsi="Times New Roman" w:cs="Times New Roman"/>
          <w:sz w:val="24"/>
          <w:szCs w:val="24"/>
        </w:rPr>
        <w:t xml:space="preserve">as </w:t>
      </w:r>
      <w:r w:rsidR="00C242AC">
        <w:rPr>
          <w:rFonts w:ascii="Times New Roman" w:hAnsi="Times New Roman" w:cs="Times New Roman"/>
          <w:sz w:val="24"/>
          <w:szCs w:val="24"/>
        </w:rPr>
        <w:t>the Kurds had substantial internal divides among them</w:t>
      </w:r>
      <w:r w:rsidR="00B009E1">
        <w:rPr>
          <w:rFonts w:ascii="Times New Roman" w:hAnsi="Times New Roman" w:cs="Times New Roman"/>
          <w:sz w:val="24"/>
          <w:szCs w:val="24"/>
        </w:rPr>
        <w:t>.</w:t>
      </w:r>
      <w:r w:rsidR="007C7E08">
        <w:rPr>
          <w:rStyle w:val="FootnoteReference"/>
          <w:rFonts w:ascii="Times New Roman" w:hAnsi="Times New Roman" w:cs="Times New Roman"/>
          <w:sz w:val="24"/>
          <w:szCs w:val="24"/>
        </w:rPr>
        <w:footnoteReference w:id="45"/>
      </w:r>
      <w:r w:rsidR="00C242AC">
        <w:rPr>
          <w:rFonts w:ascii="Times New Roman" w:hAnsi="Times New Roman" w:cs="Times New Roman"/>
          <w:sz w:val="24"/>
          <w:szCs w:val="24"/>
        </w:rPr>
        <w:t xml:space="preserve"> The Iraqi government even recruited </w:t>
      </w:r>
      <w:r w:rsidR="007C7E08">
        <w:rPr>
          <w:rFonts w:ascii="Times New Roman" w:hAnsi="Times New Roman" w:cs="Times New Roman"/>
          <w:sz w:val="24"/>
          <w:szCs w:val="24"/>
        </w:rPr>
        <w:t>auxiliaries called “Saladin’s Cavaliers” to aid their efforts to overcome the KDP and the tribes it counted as allies.</w:t>
      </w:r>
      <w:r w:rsidR="007C7E08">
        <w:rPr>
          <w:rStyle w:val="FootnoteReference"/>
          <w:rFonts w:ascii="Times New Roman" w:hAnsi="Times New Roman" w:cs="Times New Roman"/>
          <w:sz w:val="24"/>
          <w:szCs w:val="24"/>
        </w:rPr>
        <w:footnoteReference w:id="46"/>
      </w:r>
      <w:r w:rsidR="00B009E1">
        <w:rPr>
          <w:rFonts w:ascii="Times New Roman" w:hAnsi="Times New Roman" w:cs="Times New Roman"/>
          <w:sz w:val="24"/>
          <w:szCs w:val="24"/>
        </w:rPr>
        <w:t xml:space="preserve"> Having bested Iraqi forces in the field, the KDP signed an autonomy agreement with</w:t>
      </w:r>
      <w:r w:rsidR="00477340">
        <w:rPr>
          <w:rFonts w:ascii="Times New Roman" w:hAnsi="Times New Roman" w:cs="Times New Roman"/>
          <w:sz w:val="24"/>
          <w:szCs w:val="24"/>
        </w:rPr>
        <w:t xml:space="preserve"> post-</w:t>
      </w:r>
      <w:proofErr w:type="spellStart"/>
      <w:r w:rsidR="00477340">
        <w:rPr>
          <w:rFonts w:ascii="Times New Roman" w:hAnsi="Times New Roman" w:cs="Times New Roman"/>
          <w:sz w:val="24"/>
          <w:szCs w:val="24"/>
        </w:rPr>
        <w:t>Qasim</w:t>
      </w:r>
      <w:proofErr w:type="spellEnd"/>
      <w:r w:rsidR="00B009E1">
        <w:rPr>
          <w:rFonts w:ascii="Times New Roman" w:hAnsi="Times New Roman" w:cs="Times New Roman"/>
          <w:sz w:val="24"/>
          <w:szCs w:val="24"/>
        </w:rPr>
        <w:t xml:space="preserve"> </w:t>
      </w:r>
      <w:r w:rsidR="00477340">
        <w:rPr>
          <w:rFonts w:ascii="Times New Roman" w:hAnsi="Times New Roman" w:cs="Times New Roman"/>
          <w:sz w:val="24"/>
          <w:szCs w:val="24"/>
        </w:rPr>
        <w:t xml:space="preserve">Ba’athist </w:t>
      </w:r>
      <w:r w:rsidR="00B009E1">
        <w:rPr>
          <w:rFonts w:ascii="Times New Roman" w:hAnsi="Times New Roman" w:cs="Times New Roman"/>
          <w:sz w:val="24"/>
          <w:szCs w:val="24"/>
        </w:rPr>
        <w:t>Iraq in 1970.</w:t>
      </w:r>
      <w:r w:rsidR="00B009E1">
        <w:rPr>
          <w:rStyle w:val="FootnoteReference"/>
          <w:rFonts w:ascii="Times New Roman" w:hAnsi="Times New Roman" w:cs="Times New Roman"/>
          <w:sz w:val="24"/>
          <w:szCs w:val="24"/>
        </w:rPr>
        <w:footnoteReference w:id="47"/>
      </w:r>
    </w:p>
    <w:p w14:paraId="0B8B9FF4" w14:textId="77777777" w:rsidR="0038175B" w:rsidRDefault="0038175B" w:rsidP="009E3722">
      <w:pPr>
        <w:rPr>
          <w:rFonts w:ascii="Times New Roman" w:hAnsi="Times New Roman" w:cs="Times New Roman"/>
          <w:sz w:val="24"/>
          <w:szCs w:val="24"/>
        </w:rPr>
      </w:pPr>
      <w:r>
        <w:rPr>
          <w:rFonts w:ascii="Times New Roman" w:hAnsi="Times New Roman" w:cs="Times New Roman"/>
          <w:sz w:val="24"/>
          <w:szCs w:val="24"/>
        </w:rPr>
        <w:tab/>
        <w:t xml:space="preserve">On the surface, </w:t>
      </w:r>
      <w:r w:rsidR="00F255A3">
        <w:rPr>
          <w:rFonts w:ascii="Times New Roman" w:hAnsi="Times New Roman" w:cs="Times New Roman"/>
          <w:sz w:val="24"/>
          <w:szCs w:val="24"/>
        </w:rPr>
        <w:t>the KDP effort to harness popular support seems impressive. A legislature was established in 1964 and the influx in recruits after the Ba’athists took over in Baghdad clearly had a role in developing administration at the local level.</w:t>
      </w:r>
      <w:r w:rsidR="00F255A3">
        <w:rPr>
          <w:rStyle w:val="FootnoteReference"/>
          <w:rFonts w:ascii="Times New Roman" w:hAnsi="Times New Roman" w:cs="Times New Roman"/>
          <w:sz w:val="24"/>
          <w:szCs w:val="24"/>
        </w:rPr>
        <w:footnoteReference w:id="48"/>
      </w:r>
      <w:r w:rsidR="00F255A3">
        <w:rPr>
          <w:rFonts w:ascii="Times New Roman" w:hAnsi="Times New Roman" w:cs="Times New Roman"/>
          <w:sz w:val="24"/>
          <w:szCs w:val="24"/>
        </w:rPr>
        <w:t xml:space="preserve"> However, </w:t>
      </w:r>
      <w:r w:rsidR="00B17F71">
        <w:rPr>
          <w:rFonts w:ascii="Times New Roman" w:hAnsi="Times New Roman" w:cs="Times New Roman"/>
          <w:sz w:val="24"/>
          <w:szCs w:val="24"/>
        </w:rPr>
        <w:t>looks may be somewhat deceiving. For one, the councils at the village and district level were primarily noteworthy for having “brought some degree of law and order into what had deteriorated into a chaotic situation in Kurdish territory.”</w:t>
      </w:r>
      <w:r w:rsidR="00B17F71">
        <w:rPr>
          <w:rStyle w:val="FootnoteReference"/>
          <w:rFonts w:ascii="Times New Roman" w:hAnsi="Times New Roman" w:cs="Times New Roman"/>
          <w:sz w:val="24"/>
          <w:szCs w:val="24"/>
        </w:rPr>
        <w:footnoteReference w:id="49"/>
      </w:r>
      <w:r w:rsidR="00F255A3">
        <w:rPr>
          <w:rFonts w:ascii="Times New Roman" w:hAnsi="Times New Roman" w:cs="Times New Roman"/>
          <w:sz w:val="24"/>
          <w:szCs w:val="24"/>
        </w:rPr>
        <w:t xml:space="preserve"> While these wartime developments might have served as </w:t>
      </w:r>
      <w:r w:rsidR="00F255A3">
        <w:rPr>
          <w:rFonts w:ascii="Times New Roman" w:hAnsi="Times New Roman" w:cs="Times New Roman"/>
          <w:sz w:val="24"/>
          <w:szCs w:val="24"/>
        </w:rPr>
        <w:lastRenderedPageBreak/>
        <w:t>a runway leading to contesting elections—which, given Prime Minister Bazzaz’s proposal in 1964, was very much on the table</w:t>
      </w:r>
      <w:r w:rsidR="00F255A3">
        <w:rPr>
          <w:rStyle w:val="FootnoteReference"/>
          <w:rFonts w:ascii="Times New Roman" w:hAnsi="Times New Roman" w:cs="Times New Roman"/>
          <w:sz w:val="24"/>
          <w:szCs w:val="24"/>
        </w:rPr>
        <w:footnoteReference w:id="50"/>
      </w:r>
      <w:r w:rsidR="00DB0FF5">
        <w:rPr>
          <w:rFonts w:ascii="Times New Roman" w:hAnsi="Times New Roman" w:cs="Times New Roman"/>
          <w:sz w:val="24"/>
          <w:szCs w:val="24"/>
        </w:rPr>
        <w:t>—Mulla Mustafa</w:t>
      </w:r>
      <w:r w:rsidR="00156C41">
        <w:rPr>
          <w:rFonts w:ascii="Times New Roman" w:hAnsi="Times New Roman" w:cs="Times New Roman"/>
          <w:sz w:val="24"/>
          <w:szCs w:val="24"/>
        </w:rPr>
        <w:t>’s presence loomed large over</w:t>
      </w:r>
      <w:r w:rsidR="00DB0FF5">
        <w:rPr>
          <w:rFonts w:ascii="Times New Roman" w:hAnsi="Times New Roman" w:cs="Times New Roman"/>
          <w:sz w:val="24"/>
          <w:szCs w:val="24"/>
        </w:rPr>
        <w:t xml:space="preserve"> them</w:t>
      </w:r>
      <w:r w:rsidR="00156C41">
        <w:rPr>
          <w:rStyle w:val="FootnoteReference"/>
          <w:rFonts w:ascii="Times New Roman" w:hAnsi="Times New Roman" w:cs="Times New Roman"/>
          <w:sz w:val="24"/>
          <w:szCs w:val="24"/>
        </w:rPr>
        <w:footnoteReference w:id="51"/>
      </w:r>
      <w:r w:rsidR="00B17F71">
        <w:rPr>
          <w:rFonts w:ascii="Times New Roman" w:hAnsi="Times New Roman" w:cs="Times New Roman"/>
          <w:sz w:val="24"/>
          <w:szCs w:val="24"/>
        </w:rPr>
        <w:t xml:space="preserve"> and selection of leadership appears to primarily have been by appointment.</w:t>
      </w:r>
      <w:r w:rsidR="00DB0FF5">
        <w:rPr>
          <w:rFonts w:ascii="Times New Roman" w:hAnsi="Times New Roman" w:cs="Times New Roman"/>
          <w:sz w:val="24"/>
          <w:szCs w:val="24"/>
        </w:rPr>
        <w:t xml:space="preserve"> </w:t>
      </w:r>
      <w:r w:rsidR="00156C41">
        <w:rPr>
          <w:rFonts w:ascii="Times New Roman" w:hAnsi="Times New Roman" w:cs="Times New Roman"/>
          <w:sz w:val="24"/>
          <w:szCs w:val="24"/>
        </w:rPr>
        <w:t>With that said</w:t>
      </w:r>
      <w:r w:rsidR="00DB0FF5">
        <w:rPr>
          <w:rFonts w:ascii="Times New Roman" w:hAnsi="Times New Roman" w:cs="Times New Roman"/>
          <w:sz w:val="24"/>
          <w:szCs w:val="24"/>
        </w:rPr>
        <w:t>,</w:t>
      </w:r>
      <w:r w:rsidR="00156C41">
        <w:rPr>
          <w:rFonts w:ascii="Times New Roman" w:hAnsi="Times New Roman" w:cs="Times New Roman"/>
          <w:sz w:val="24"/>
          <w:szCs w:val="24"/>
        </w:rPr>
        <w:t xml:space="preserve"> Mulla</w:t>
      </w:r>
      <w:r w:rsidR="00DB0FF5">
        <w:rPr>
          <w:rFonts w:ascii="Times New Roman" w:hAnsi="Times New Roman" w:cs="Times New Roman"/>
          <w:sz w:val="24"/>
          <w:szCs w:val="24"/>
        </w:rPr>
        <w:t xml:space="preserve"> Mustafa had established three assemblies: a senate, a consultative assembly, and a Revolutionary Council</w:t>
      </w:r>
      <w:r w:rsidR="00156C41">
        <w:rPr>
          <w:rFonts w:ascii="Times New Roman" w:hAnsi="Times New Roman" w:cs="Times New Roman"/>
          <w:sz w:val="24"/>
          <w:szCs w:val="24"/>
        </w:rPr>
        <w:t xml:space="preserve"> (which he presided over)</w:t>
      </w:r>
      <w:r w:rsidR="00DB0FF5">
        <w:rPr>
          <w:rFonts w:ascii="Times New Roman" w:hAnsi="Times New Roman" w:cs="Times New Roman"/>
          <w:sz w:val="24"/>
          <w:szCs w:val="24"/>
        </w:rPr>
        <w:t xml:space="preserve"> to serve as an executive.</w:t>
      </w:r>
      <w:r w:rsidR="00DB0FF5">
        <w:rPr>
          <w:rStyle w:val="FootnoteReference"/>
          <w:rFonts w:ascii="Times New Roman" w:hAnsi="Times New Roman" w:cs="Times New Roman"/>
          <w:sz w:val="24"/>
          <w:szCs w:val="24"/>
        </w:rPr>
        <w:footnoteReference w:id="52"/>
      </w:r>
    </w:p>
    <w:p w14:paraId="068407B8" w14:textId="77777777" w:rsidR="00B17F71" w:rsidRDefault="00B17F71" w:rsidP="009E3722">
      <w:pPr>
        <w:rPr>
          <w:rFonts w:ascii="Times New Roman" w:hAnsi="Times New Roman" w:cs="Times New Roman"/>
          <w:sz w:val="24"/>
          <w:szCs w:val="24"/>
        </w:rPr>
      </w:pPr>
      <w:r>
        <w:rPr>
          <w:rFonts w:ascii="Times New Roman" w:hAnsi="Times New Roman" w:cs="Times New Roman"/>
          <w:sz w:val="24"/>
          <w:szCs w:val="24"/>
        </w:rPr>
        <w:tab/>
        <w:t xml:space="preserve">The other elements of rebel governance were more </w:t>
      </w:r>
      <w:r w:rsidR="00820E40">
        <w:rPr>
          <w:rFonts w:ascii="Times New Roman" w:hAnsi="Times New Roman" w:cs="Times New Roman"/>
          <w:sz w:val="24"/>
          <w:szCs w:val="24"/>
        </w:rPr>
        <w:t>fully realized</w:t>
      </w:r>
      <w:r>
        <w:rPr>
          <w:rFonts w:ascii="Times New Roman" w:hAnsi="Times New Roman" w:cs="Times New Roman"/>
          <w:sz w:val="24"/>
          <w:szCs w:val="24"/>
        </w:rPr>
        <w:t>. In addition to village and district councils, courts were established, though some reportedly chafed at this centralized form of criminal justice.</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 xml:space="preserve"> </w:t>
      </w:r>
      <w:r w:rsidR="00B30CD4">
        <w:rPr>
          <w:rFonts w:ascii="Times New Roman" w:hAnsi="Times New Roman" w:cs="Times New Roman"/>
          <w:sz w:val="24"/>
          <w:szCs w:val="24"/>
        </w:rPr>
        <w:t xml:space="preserve">Moreover, </w:t>
      </w:r>
      <w:r w:rsidR="00F8320A">
        <w:rPr>
          <w:rFonts w:ascii="Times New Roman" w:hAnsi="Times New Roman" w:cs="Times New Roman"/>
          <w:sz w:val="24"/>
          <w:szCs w:val="24"/>
        </w:rPr>
        <w:t>in addition to the new legislature, Kurdish territory was divided into five administrative districts, each with its own judicial administration.</w:t>
      </w:r>
      <w:r w:rsidR="00F8320A">
        <w:rPr>
          <w:rStyle w:val="FootnoteReference"/>
          <w:rFonts w:ascii="Times New Roman" w:hAnsi="Times New Roman" w:cs="Times New Roman"/>
          <w:sz w:val="24"/>
          <w:szCs w:val="24"/>
        </w:rPr>
        <w:footnoteReference w:id="54"/>
      </w:r>
      <w:r w:rsidR="00F8320A">
        <w:rPr>
          <w:rFonts w:ascii="Times New Roman" w:hAnsi="Times New Roman" w:cs="Times New Roman"/>
          <w:sz w:val="24"/>
          <w:szCs w:val="24"/>
        </w:rPr>
        <w:t xml:space="preserve"> Although </w:t>
      </w:r>
      <w:r w:rsidR="00A11E12">
        <w:rPr>
          <w:rFonts w:ascii="Times New Roman" w:hAnsi="Times New Roman" w:cs="Times New Roman"/>
          <w:sz w:val="24"/>
          <w:szCs w:val="24"/>
        </w:rPr>
        <w:t>there are few mentions of policing, the fact that the 1970 agreement to end the war not only guaranteed autonomy but allowed 6,000 peshmerga</w:t>
      </w:r>
      <w:r w:rsidR="00F8320A">
        <w:rPr>
          <w:rFonts w:ascii="Times New Roman" w:hAnsi="Times New Roman" w:cs="Times New Roman"/>
          <w:sz w:val="24"/>
          <w:szCs w:val="24"/>
        </w:rPr>
        <w:t xml:space="preserve"> </w:t>
      </w:r>
      <w:r w:rsidR="00A11E12">
        <w:rPr>
          <w:rFonts w:ascii="Times New Roman" w:hAnsi="Times New Roman" w:cs="Times New Roman"/>
          <w:sz w:val="24"/>
          <w:szCs w:val="24"/>
        </w:rPr>
        <w:t>troops to continue to operate as a “frontier militia force” suggests that Kurdish territory was administered with relatively little competition from Iraqi authority.</w:t>
      </w:r>
      <w:r w:rsidR="00A11E12">
        <w:rPr>
          <w:rStyle w:val="FootnoteReference"/>
          <w:rFonts w:ascii="Times New Roman" w:hAnsi="Times New Roman" w:cs="Times New Roman"/>
          <w:sz w:val="24"/>
          <w:szCs w:val="24"/>
        </w:rPr>
        <w:footnoteReference w:id="55"/>
      </w:r>
    </w:p>
    <w:p w14:paraId="1228DA8A" w14:textId="77777777" w:rsidR="005F416A" w:rsidRDefault="005F416A" w:rsidP="009E3722">
      <w:pPr>
        <w:rPr>
          <w:rFonts w:ascii="Times New Roman" w:hAnsi="Times New Roman" w:cs="Times New Roman"/>
          <w:sz w:val="24"/>
          <w:szCs w:val="24"/>
        </w:rPr>
      </w:pPr>
      <w:r>
        <w:rPr>
          <w:rFonts w:ascii="Times New Roman" w:hAnsi="Times New Roman" w:cs="Times New Roman"/>
          <w:sz w:val="24"/>
          <w:szCs w:val="24"/>
        </w:rPr>
        <w:tab/>
        <w:t>Public good provision appears to have been less well-organized. Doctors who joined the pro-independence cause were able to cobble together “an elementary health service” alongside some hospitals</w:t>
      </w:r>
      <w:r w:rsidR="00457780">
        <w:rPr>
          <w:rFonts w:ascii="Times New Roman" w:hAnsi="Times New Roman" w:cs="Times New Roman"/>
          <w:sz w:val="24"/>
          <w:szCs w:val="24"/>
        </w:rPr>
        <w:t>, but there are few other mentions of similar developments.</w:t>
      </w:r>
      <w:r w:rsidR="00457780">
        <w:rPr>
          <w:rStyle w:val="FootnoteReference"/>
          <w:rFonts w:ascii="Times New Roman" w:hAnsi="Times New Roman" w:cs="Times New Roman"/>
          <w:sz w:val="24"/>
          <w:szCs w:val="24"/>
        </w:rPr>
        <w:footnoteReference w:id="56"/>
      </w:r>
      <w:r w:rsidR="00457780">
        <w:rPr>
          <w:rFonts w:ascii="Times New Roman" w:hAnsi="Times New Roman" w:cs="Times New Roman"/>
          <w:sz w:val="24"/>
          <w:szCs w:val="24"/>
        </w:rPr>
        <w:t xml:space="preserve"> While there were a number of calls for the Kurdish language to be used in Kurdistan’s schools and universities,</w:t>
      </w:r>
      <w:r w:rsidR="00457780">
        <w:rPr>
          <w:rStyle w:val="FootnoteReference"/>
          <w:rFonts w:ascii="Times New Roman" w:hAnsi="Times New Roman" w:cs="Times New Roman"/>
          <w:sz w:val="24"/>
          <w:szCs w:val="24"/>
        </w:rPr>
        <w:footnoteReference w:id="57"/>
      </w:r>
      <w:r w:rsidR="00457780">
        <w:rPr>
          <w:rFonts w:ascii="Times New Roman" w:hAnsi="Times New Roman" w:cs="Times New Roman"/>
          <w:sz w:val="24"/>
          <w:szCs w:val="24"/>
        </w:rPr>
        <w:t xml:space="preserve"> there is little evidence that the KDP had set up parallel schools to those which already existed.</w:t>
      </w:r>
    </w:p>
    <w:p w14:paraId="4454988E" w14:textId="77777777" w:rsidR="009F57DF" w:rsidRPr="009F57DF" w:rsidRDefault="009F57DF">
      <w:pPr>
        <w:rPr>
          <w:rFonts w:ascii="Times New Roman" w:hAnsi="Times New Roman" w:cs="Times New Roman"/>
          <w:b/>
          <w:sz w:val="24"/>
          <w:szCs w:val="24"/>
        </w:rPr>
      </w:pPr>
      <w:r>
        <w:rPr>
          <w:rFonts w:ascii="Times New Roman" w:hAnsi="Times New Roman" w:cs="Times New Roman"/>
          <w:b/>
          <w:sz w:val="24"/>
          <w:szCs w:val="24"/>
        </w:rPr>
        <w:t>Iraq (1974-1975)</w:t>
      </w:r>
    </w:p>
    <w:p w14:paraId="7C6D50CE"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t xml:space="preserve">Rebels / Incumbents: </w:t>
      </w:r>
      <w:r w:rsidR="009E3722">
        <w:rPr>
          <w:rFonts w:ascii="Times New Roman" w:hAnsi="Times New Roman" w:cs="Times New Roman"/>
          <w:sz w:val="24"/>
          <w:szCs w:val="24"/>
        </w:rPr>
        <w:t>Kurdish Democratic Party (KDP) / Iraq</w:t>
      </w:r>
    </w:p>
    <w:p w14:paraId="08C1EB25" w14:textId="77777777"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F31E27">
        <w:rPr>
          <w:rFonts w:ascii="Times New Roman" w:hAnsi="Times New Roman" w:cs="Times New Roman"/>
          <w:b/>
          <w:sz w:val="24"/>
          <w:szCs w:val="24"/>
        </w:rPr>
        <w:t>2</w:t>
      </w:r>
      <w:r w:rsidRPr="00F62BA4">
        <w:rPr>
          <w:rFonts w:ascii="Times New Roman" w:hAnsi="Times New Roman" w:cs="Times New Roman"/>
          <w:b/>
          <w:sz w:val="24"/>
          <w:szCs w:val="24"/>
        </w:rPr>
        <w:t xml:space="preserve">; Public Goods: </w:t>
      </w:r>
      <w:r w:rsidR="00F31E27">
        <w:rPr>
          <w:rFonts w:ascii="Times New Roman" w:hAnsi="Times New Roman" w:cs="Times New Roman"/>
          <w:b/>
          <w:sz w:val="24"/>
          <w:szCs w:val="24"/>
        </w:rPr>
        <w:t>1</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F31E27">
        <w:rPr>
          <w:rFonts w:ascii="Times New Roman" w:hAnsi="Times New Roman" w:cs="Times New Roman"/>
          <w:b/>
          <w:sz w:val="24"/>
          <w:szCs w:val="24"/>
        </w:rPr>
        <w:t xml:space="preserve"> 1</w:t>
      </w:r>
    </w:p>
    <w:p w14:paraId="1266AB1C" w14:textId="77777777" w:rsidR="009F57DF" w:rsidRDefault="00B009E1">
      <w:pPr>
        <w:rPr>
          <w:rFonts w:ascii="Times New Roman" w:hAnsi="Times New Roman" w:cs="Times New Roman"/>
          <w:sz w:val="24"/>
          <w:szCs w:val="24"/>
        </w:rPr>
      </w:pPr>
      <w:r>
        <w:rPr>
          <w:rFonts w:ascii="Times New Roman" w:hAnsi="Times New Roman" w:cs="Times New Roman"/>
          <w:sz w:val="24"/>
          <w:szCs w:val="24"/>
        </w:rPr>
        <w:tab/>
        <w:t>Iraqi respect for Kurdish autonomy did not last long.</w:t>
      </w:r>
      <w:r w:rsidR="00741AF0">
        <w:rPr>
          <w:rFonts w:ascii="Times New Roman" w:hAnsi="Times New Roman" w:cs="Times New Roman"/>
          <w:sz w:val="24"/>
          <w:szCs w:val="24"/>
        </w:rPr>
        <w:t xml:space="preserve"> Amidst </w:t>
      </w:r>
      <w:r w:rsidR="0044748D">
        <w:rPr>
          <w:rFonts w:ascii="Times New Roman" w:hAnsi="Times New Roman" w:cs="Times New Roman"/>
          <w:sz w:val="24"/>
          <w:szCs w:val="24"/>
        </w:rPr>
        <w:t xml:space="preserve">stalling negotiations over the particulars of Kurdish autonomy, Iraqi forces defeated the Kurdish force. Despite adequate training and personnel, the Kurds lacked heavy weapons and so were hamstrung in achieving their objectives. Moreover, Iraqi forces performed far better in the second iteration of the conflict </w:t>
      </w:r>
      <w:r w:rsidR="0044748D">
        <w:rPr>
          <w:rFonts w:ascii="Times New Roman" w:hAnsi="Times New Roman" w:cs="Times New Roman"/>
          <w:sz w:val="24"/>
          <w:szCs w:val="24"/>
        </w:rPr>
        <w:lastRenderedPageBreak/>
        <w:t>than the first.</w:t>
      </w:r>
      <w:r w:rsidR="0044748D">
        <w:rPr>
          <w:rStyle w:val="FootnoteReference"/>
          <w:rFonts w:ascii="Times New Roman" w:hAnsi="Times New Roman" w:cs="Times New Roman"/>
          <w:sz w:val="24"/>
          <w:szCs w:val="24"/>
        </w:rPr>
        <w:footnoteReference w:id="58"/>
      </w:r>
      <w:r w:rsidR="005B575D">
        <w:rPr>
          <w:rFonts w:ascii="Times New Roman" w:hAnsi="Times New Roman" w:cs="Times New Roman"/>
          <w:sz w:val="24"/>
          <w:szCs w:val="24"/>
        </w:rPr>
        <w:t xml:space="preserve"> Thus, once Iran withdrew their support for the Peshmerga forces, Iraqi forces secured their victory in short order.</w:t>
      </w:r>
      <w:r w:rsidR="005B575D">
        <w:rPr>
          <w:rStyle w:val="FootnoteReference"/>
          <w:rFonts w:ascii="Times New Roman" w:hAnsi="Times New Roman" w:cs="Times New Roman"/>
          <w:sz w:val="24"/>
          <w:szCs w:val="24"/>
        </w:rPr>
        <w:footnoteReference w:id="59"/>
      </w:r>
    </w:p>
    <w:p w14:paraId="07BEFB49" w14:textId="77777777" w:rsidR="009F57DF" w:rsidRPr="00F31E27" w:rsidRDefault="00820E40">
      <w:pPr>
        <w:rPr>
          <w:rFonts w:ascii="Times New Roman" w:hAnsi="Times New Roman" w:cs="Times New Roman"/>
          <w:sz w:val="24"/>
          <w:szCs w:val="24"/>
        </w:rPr>
      </w:pPr>
      <w:r>
        <w:rPr>
          <w:rFonts w:ascii="Times New Roman" w:hAnsi="Times New Roman" w:cs="Times New Roman"/>
          <w:sz w:val="24"/>
          <w:szCs w:val="24"/>
        </w:rPr>
        <w:tab/>
        <w:t xml:space="preserve">Interestingly, Saddam Hussein offered the Kurds a deal just before the war which was quite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what former Prime Minister Bazzaz had done a decade earlier. It promised political representation, ostensible autonomy in all realms unrelated to foreign policy and defense, and even set aside a budget for developing new political parties. This offer—alongside the KDP’s continued administration of their controlled territory—suggests very little had changed on that front in the interbellum years.</w:t>
      </w:r>
      <w:r>
        <w:rPr>
          <w:rStyle w:val="FootnoteReference"/>
          <w:rFonts w:ascii="Times New Roman" w:hAnsi="Times New Roman" w:cs="Times New Roman"/>
          <w:sz w:val="24"/>
          <w:szCs w:val="24"/>
        </w:rPr>
        <w:footnoteReference w:id="60"/>
      </w:r>
      <w:r w:rsidR="005B575D">
        <w:rPr>
          <w:rFonts w:ascii="Times New Roman" w:hAnsi="Times New Roman" w:cs="Times New Roman"/>
          <w:sz w:val="24"/>
          <w:szCs w:val="24"/>
        </w:rPr>
        <w:t xml:space="preserve"> Further supporting this notion is the fact that the autonomy agreement </w:t>
      </w:r>
      <w:proofErr w:type="gramStart"/>
      <w:r w:rsidR="005B575D">
        <w:rPr>
          <w:rFonts w:ascii="Times New Roman" w:hAnsi="Times New Roman" w:cs="Times New Roman"/>
          <w:sz w:val="24"/>
          <w:szCs w:val="24"/>
        </w:rPr>
        <w:t>was seen as</w:t>
      </w:r>
      <w:proofErr w:type="gramEnd"/>
      <w:r w:rsidR="005B575D">
        <w:rPr>
          <w:rFonts w:ascii="Times New Roman" w:hAnsi="Times New Roman" w:cs="Times New Roman"/>
          <w:sz w:val="24"/>
          <w:szCs w:val="24"/>
        </w:rPr>
        <w:t xml:space="preserve"> granting additional powers to the government in Baghdad.</w:t>
      </w:r>
      <w:r w:rsidR="005B575D">
        <w:rPr>
          <w:rStyle w:val="FootnoteReference"/>
          <w:rFonts w:ascii="Times New Roman" w:hAnsi="Times New Roman" w:cs="Times New Roman"/>
          <w:sz w:val="24"/>
          <w:szCs w:val="24"/>
        </w:rPr>
        <w:footnoteReference w:id="61"/>
      </w:r>
    </w:p>
    <w:p w14:paraId="44BAD624" w14:textId="77777777" w:rsidR="009F57DF" w:rsidRDefault="009F57DF">
      <w:pPr>
        <w:rPr>
          <w:rFonts w:ascii="Times New Roman" w:hAnsi="Times New Roman" w:cs="Times New Roman"/>
          <w:b/>
          <w:sz w:val="24"/>
          <w:szCs w:val="24"/>
        </w:rPr>
      </w:pPr>
      <w:r>
        <w:rPr>
          <w:rFonts w:ascii="Times New Roman" w:hAnsi="Times New Roman" w:cs="Times New Roman"/>
          <w:b/>
          <w:sz w:val="24"/>
          <w:szCs w:val="24"/>
        </w:rPr>
        <w:t>Jordan (1970-1971)</w:t>
      </w:r>
    </w:p>
    <w:p w14:paraId="4EB60CE0"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t xml:space="preserve">Rebels / Incumbents: </w:t>
      </w:r>
      <w:r w:rsidR="00484396">
        <w:rPr>
          <w:rFonts w:ascii="Times New Roman" w:hAnsi="Times New Roman" w:cs="Times New Roman"/>
          <w:sz w:val="24"/>
          <w:szCs w:val="24"/>
        </w:rPr>
        <w:t>Fedayeen (Palestinian Liberation Organization (PLO) and Popular Front for the Liberation of Palestine (PFLP)) / Jordan</w:t>
      </w:r>
    </w:p>
    <w:p w14:paraId="3918D97F" w14:textId="77777777"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5C5A84">
        <w:rPr>
          <w:rFonts w:ascii="Times New Roman" w:hAnsi="Times New Roman" w:cs="Times New Roman"/>
          <w:b/>
          <w:sz w:val="24"/>
          <w:szCs w:val="24"/>
        </w:rPr>
        <w:t>2</w:t>
      </w:r>
      <w:r w:rsidRPr="00F62BA4">
        <w:rPr>
          <w:rFonts w:ascii="Times New Roman" w:hAnsi="Times New Roman" w:cs="Times New Roman"/>
          <w:b/>
          <w:sz w:val="24"/>
          <w:szCs w:val="24"/>
        </w:rPr>
        <w:t xml:space="preserve">; Public Goods: </w:t>
      </w:r>
      <w:r w:rsidR="005C5A84">
        <w:rPr>
          <w:rFonts w:ascii="Times New Roman" w:hAnsi="Times New Roman" w:cs="Times New Roman"/>
          <w:b/>
          <w:sz w:val="24"/>
          <w:szCs w:val="24"/>
        </w:rPr>
        <w:t>2</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86475A">
        <w:rPr>
          <w:rFonts w:ascii="Times New Roman" w:hAnsi="Times New Roman" w:cs="Times New Roman"/>
          <w:b/>
          <w:sz w:val="24"/>
          <w:szCs w:val="24"/>
        </w:rPr>
        <w:t xml:space="preserve"> </w:t>
      </w:r>
      <w:r w:rsidR="00360CBE">
        <w:rPr>
          <w:rFonts w:ascii="Times New Roman" w:hAnsi="Times New Roman" w:cs="Times New Roman"/>
          <w:b/>
          <w:sz w:val="24"/>
          <w:szCs w:val="24"/>
        </w:rPr>
        <w:t>0</w:t>
      </w:r>
    </w:p>
    <w:p w14:paraId="095CBB1A" w14:textId="77777777" w:rsidR="00484396" w:rsidRPr="00484396" w:rsidRDefault="00484396" w:rsidP="00484396">
      <w:pPr>
        <w:rPr>
          <w:rFonts w:ascii="Times New Roman" w:hAnsi="Times New Roman" w:cs="Times New Roman"/>
          <w:sz w:val="24"/>
          <w:szCs w:val="24"/>
        </w:rPr>
      </w:pPr>
      <w:r>
        <w:rPr>
          <w:rFonts w:ascii="Times New Roman" w:hAnsi="Times New Roman" w:cs="Times New Roman"/>
          <w:sz w:val="24"/>
          <w:szCs w:val="24"/>
        </w:rPr>
        <w:tab/>
        <w:t>Following the Arab-Israeli war in 1967, many among the Palestinian liberation movement relocated to Jordan.</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Following an attempt on King Hussein’s life and three airliner hijackings, martial law was declared and the Jordanian military assaulted fedayeen positions. The Fedayeen were </w:t>
      </w:r>
      <w:r w:rsidR="004D7B34">
        <w:rPr>
          <w:rFonts w:ascii="Times New Roman" w:hAnsi="Times New Roman" w:cs="Times New Roman"/>
          <w:sz w:val="24"/>
          <w:szCs w:val="24"/>
        </w:rPr>
        <w:t>eventually defeated</w:t>
      </w:r>
      <w:r>
        <w:rPr>
          <w:rFonts w:ascii="Times New Roman" w:hAnsi="Times New Roman" w:cs="Times New Roman"/>
          <w:sz w:val="24"/>
          <w:szCs w:val="24"/>
        </w:rPr>
        <w:t>, but this may have been due to the disappointing showing of their international patrons. Iraqi forces and materiel never arrived, and although Syria invaded in support of the fedayeen, they did not deploy their air force (likely due to international pressure</w:t>
      </w:r>
      <w:r w:rsidR="004D7B34">
        <w:rPr>
          <w:rFonts w:ascii="Times New Roman" w:hAnsi="Times New Roman" w:cs="Times New Roman"/>
          <w:sz w:val="24"/>
          <w:szCs w:val="24"/>
        </w:rPr>
        <w:t>). The Syrian forces were repulsed with little fanfare, leaving the fedayeen to fend for themselves. Outmanned and outgunned, they were ultimately defeated some months later.</w:t>
      </w:r>
      <w:r w:rsidR="004D7B34">
        <w:rPr>
          <w:rStyle w:val="FootnoteReference"/>
          <w:rFonts w:ascii="Times New Roman" w:hAnsi="Times New Roman" w:cs="Times New Roman"/>
          <w:sz w:val="24"/>
          <w:szCs w:val="24"/>
        </w:rPr>
        <w:footnoteReference w:id="63"/>
      </w:r>
    </w:p>
    <w:p w14:paraId="45827F61" w14:textId="77777777" w:rsidR="005C5A84" w:rsidRDefault="001A0C6D">
      <w:pPr>
        <w:rPr>
          <w:rFonts w:ascii="Times New Roman" w:hAnsi="Times New Roman" w:cs="Times New Roman"/>
          <w:sz w:val="24"/>
          <w:szCs w:val="24"/>
        </w:rPr>
      </w:pPr>
      <w:r>
        <w:rPr>
          <w:rFonts w:ascii="Times New Roman" w:hAnsi="Times New Roman" w:cs="Times New Roman"/>
          <w:sz w:val="24"/>
          <w:szCs w:val="24"/>
        </w:rPr>
        <w:tab/>
        <w:t xml:space="preserve">Before the war </w:t>
      </w:r>
      <w:r w:rsidR="00C116E4">
        <w:rPr>
          <w:rFonts w:ascii="Times New Roman" w:hAnsi="Times New Roman" w:cs="Times New Roman"/>
          <w:sz w:val="24"/>
          <w:szCs w:val="24"/>
        </w:rPr>
        <w:t>began</w:t>
      </w:r>
      <w:r>
        <w:rPr>
          <w:rFonts w:ascii="Times New Roman" w:hAnsi="Times New Roman" w:cs="Times New Roman"/>
          <w:sz w:val="24"/>
          <w:szCs w:val="24"/>
        </w:rPr>
        <w:t xml:space="preserve">, </w:t>
      </w:r>
      <w:r w:rsidR="00AB5A20">
        <w:rPr>
          <w:rFonts w:ascii="Times New Roman" w:hAnsi="Times New Roman" w:cs="Times New Roman"/>
          <w:sz w:val="24"/>
          <w:szCs w:val="24"/>
        </w:rPr>
        <w:t xml:space="preserve">the fedayeen had established control </w:t>
      </w:r>
      <w:r w:rsidR="007F1E36">
        <w:rPr>
          <w:rFonts w:ascii="Times New Roman" w:hAnsi="Times New Roman" w:cs="Times New Roman"/>
          <w:sz w:val="24"/>
          <w:szCs w:val="24"/>
        </w:rPr>
        <w:t>of</w:t>
      </w:r>
      <w:r w:rsidR="00AB5A20">
        <w:rPr>
          <w:rFonts w:ascii="Times New Roman" w:hAnsi="Times New Roman" w:cs="Times New Roman"/>
          <w:sz w:val="24"/>
          <w:szCs w:val="24"/>
        </w:rPr>
        <w:t xml:space="preserve"> several </w:t>
      </w:r>
      <w:r w:rsidR="007F1E36">
        <w:rPr>
          <w:rFonts w:ascii="Times New Roman" w:hAnsi="Times New Roman" w:cs="Times New Roman"/>
          <w:sz w:val="24"/>
          <w:szCs w:val="24"/>
        </w:rPr>
        <w:t>towns</w:t>
      </w:r>
      <w:r w:rsidR="007F1E36">
        <w:rPr>
          <w:rStyle w:val="FootnoteReference"/>
          <w:rFonts w:ascii="Times New Roman" w:hAnsi="Times New Roman" w:cs="Times New Roman"/>
          <w:sz w:val="24"/>
          <w:szCs w:val="24"/>
        </w:rPr>
        <w:footnoteReference w:id="64"/>
      </w:r>
      <w:r w:rsidR="00AB5A20">
        <w:rPr>
          <w:rFonts w:ascii="Times New Roman" w:hAnsi="Times New Roman" w:cs="Times New Roman"/>
          <w:sz w:val="24"/>
          <w:szCs w:val="24"/>
        </w:rPr>
        <w:t xml:space="preserve"> </w:t>
      </w:r>
      <w:r w:rsidR="007F1E36">
        <w:rPr>
          <w:rFonts w:ascii="Times New Roman" w:hAnsi="Times New Roman" w:cs="Times New Roman"/>
          <w:sz w:val="24"/>
          <w:szCs w:val="24"/>
        </w:rPr>
        <w:t>and even of parts of</w:t>
      </w:r>
      <w:r w:rsidR="00AB5A20">
        <w:rPr>
          <w:rFonts w:ascii="Times New Roman" w:hAnsi="Times New Roman" w:cs="Times New Roman"/>
          <w:sz w:val="24"/>
          <w:szCs w:val="24"/>
        </w:rPr>
        <w:t xml:space="preserve"> the capital</w:t>
      </w:r>
      <w:r w:rsidR="007F1E36">
        <w:rPr>
          <w:rFonts w:ascii="Times New Roman" w:hAnsi="Times New Roman" w:cs="Times New Roman"/>
          <w:sz w:val="24"/>
          <w:szCs w:val="24"/>
        </w:rPr>
        <w:t>,</w:t>
      </w:r>
      <w:r w:rsidR="00AB5A20">
        <w:rPr>
          <w:rFonts w:ascii="Times New Roman" w:hAnsi="Times New Roman" w:cs="Times New Roman"/>
          <w:sz w:val="24"/>
          <w:szCs w:val="24"/>
        </w:rPr>
        <w:t xml:space="preserve"> Amman.</w:t>
      </w:r>
      <w:r w:rsidR="00AB5A20">
        <w:rPr>
          <w:rStyle w:val="FootnoteReference"/>
          <w:rFonts w:ascii="Times New Roman" w:hAnsi="Times New Roman" w:cs="Times New Roman"/>
          <w:sz w:val="24"/>
          <w:szCs w:val="24"/>
        </w:rPr>
        <w:footnoteReference w:id="65"/>
      </w:r>
      <w:r w:rsidR="00C116E4">
        <w:rPr>
          <w:rFonts w:ascii="Times New Roman" w:hAnsi="Times New Roman" w:cs="Times New Roman"/>
          <w:sz w:val="24"/>
          <w:szCs w:val="24"/>
        </w:rPr>
        <w:t xml:space="preserve"> </w:t>
      </w:r>
      <w:r w:rsidR="00B514D8">
        <w:rPr>
          <w:rFonts w:ascii="Times New Roman" w:hAnsi="Times New Roman" w:cs="Times New Roman"/>
          <w:sz w:val="24"/>
          <w:szCs w:val="24"/>
        </w:rPr>
        <w:t>By the time the war began, the PLO had a</w:t>
      </w:r>
      <w:r w:rsidR="00B42648">
        <w:rPr>
          <w:rFonts w:ascii="Times New Roman" w:hAnsi="Times New Roman" w:cs="Times New Roman"/>
          <w:sz w:val="24"/>
          <w:szCs w:val="24"/>
        </w:rPr>
        <w:t>n active and functional</w:t>
      </w:r>
      <w:r w:rsidR="00B514D8">
        <w:rPr>
          <w:rFonts w:ascii="Times New Roman" w:hAnsi="Times New Roman" w:cs="Times New Roman"/>
          <w:sz w:val="24"/>
          <w:szCs w:val="24"/>
        </w:rPr>
        <w:t xml:space="preserve"> police arm called the Palestine Armed Struggle Command. These ostensible military police exercised arrest powers, intervened in disputes over rents, and had offenders prosecuted in PLO-run courts.</w:t>
      </w:r>
      <w:r w:rsidR="00B514D8">
        <w:rPr>
          <w:rStyle w:val="FootnoteReference"/>
          <w:rFonts w:ascii="Times New Roman" w:hAnsi="Times New Roman" w:cs="Times New Roman"/>
          <w:sz w:val="24"/>
          <w:szCs w:val="24"/>
        </w:rPr>
        <w:footnoteReference w:id="66"/>
      </w:r>
      <w:r w:rsidR="00B514D8">
        <w:rPr>
          <w:rFonts w:ascii="Times New Roman" w:hAnsi="Times New Roman" w:cs="Times New Roman"/>
          <w:sz w:val="24"/>
          <w:szCs w:val="24"/>
        </w:rPr>
        <w:t xml:space="preserve"> </w:t>
      </w:r>
      <w:r w:rsidR="00B42648">
        <w:rPr>
          <w:rFonts w:ascii="Times New Roman" w:hAnsi="Times New Roman" w:cs="Times New Roman"/>
          <w:sz w:val="24"/>
          <w:szCs w:val="24"/>
        </w:rPr>
        <w:t>While these achievements were notable,</w:t>
      </w:r>
      <w:r w:rsidR="00B42648">
        <w:rPr>
          <w:rStyle w:val="FootnoteReference"/>
          <w:rFonts w:ascii="Times New Roman" w:hAnsi="Times New Roman" w:cs="Times New Roman"/>
          <w:sz w:val="24"/>
          <w:szCs w:val="24"/>
        </w:rPr>
        <w:footnoteReference w:id="67"/>
      </w:r>
      <w:r w:rsidR="00B42648">
        <w:rPr>
          <w:rFonts w:ascii="Times New Roman" w:hAnsi="Times New Roman" w:cs="Times New Roman"/>
          <w:sz w:val="24"/>
          <w:szCs w:val="24"/>
        </w:rPr>
        <w:t xml:space="preserve"> its undermining of Jordanian </w:t>
      </w:r>
      <w:r w:rsidR="00B42648">
        <w:rPr>
          <w:rFonts w:ascii="Times New Roman" w:hAnsi="Times New Roman" w:cs="Times New Roman"/>
          <w:sz w:val="24"/>
          <w:szCs w:val="24"/>
        </w:rPr>
        <w:lastRenderedPageBreak/>
        <w:t>authority might be even more so. PASC personnel regularly disregarded Jordanian law, even in the capital</w:t>
      </w:r>
      <w:r w:rsidR="005C5A84">
        <w:rPr>
          <w:rFonts w:ascii="Times New Roman" w:hAnsi="Times New Roman" w:cs="Times New Roman"/>
          <w:sz w:val="24"/>
          <w:szCs w:val="24"/>
        </w:rPr>
        <w:t>.</w:t>
      </w:r>
      <w:r w:rsidR="00B42648">
        <w:rPr>
          <w:rStyle w:val="FootnoteReference"/>
          <w:rFonts w:ascii="Times New Roman" w:hAnsi="Times New Roman" w:cs="Times New Roman"/>
          <w:sz w:val="24"/>
          <w:szCs w:val="24"/>
        </w:rPr>
        <w:footnoteReference w:id="68"/>
      </w:r>
    </w:p>
    <w:p w14:paraId="3A5D8926" w14:textId="77777777" w:rsidR="009F57DF" w:rsidRDefault="005C5A84">
      <w:pPr>
        <w:rPr>
          <w:rFonts w:ascii="Times New Roman" w:hAnsi="Times New Roman" w:cs="Times New Roman"/>
          <w:sz w:val="24"/>
          <w:szCs w:val="24"/>
        </w:rPr>
      </w:pPr>
      <w:r>
        <w:rPr>
          <w:rFonts w:ascii="Times New Roman" w:hAnsi="Times New Roman" w:cs="Times New Roman"/>
          <w:sz w:val="24"/>
          <w:szCs w:val="24"/>
        </w:rPr>
        <w:tab/>
        <w:t>The Palestinian “state-within-a-state” extended to the provision of public goods as well.</w:t>
      </w:r>
      <w:r>
        <w:rPr>
          <w:rStyle w:val="FootnoteReference"/>
          <w:rFonts w:ascii="Times New Roman" w:hAnsi="Times New Roman" w:cs="Times New Roman"/>
          <w:sz w:val="24"/>
          <w:szCs w:val="24"/>
        </w:rPr>
        <w:footnoteReference w:id="69"/>
      </w:r>
      <w:r w:rsidR="00B42648">
        <w:rPr>
          <w:rFonts w:ascii="Times New Roman" w:hAnsi="Times New Roman" w:cs="Times New Roman"/>
          <w:sz w:val="24"/>
          <w:szCs w:val="24"/>
        </w:rPr>
        <w:t xml:space="preserve"> </w:t>
      </w:r>
      <w:r w:rsidR="007A5A0B">
        <w:rPr>
          <w:rFonts w:ascii="Times New Roman" w:hAnsi="Times New Roman" w:cs="Times New Roman"/>
          <w:sz w:val="24"/>
          <w:szCs w:val="24"/>
        </w:rPr>
        <w:t>The fedayeen mini-state provided medicine to its charges, boasting a network of clinics and even a few hospitals.</w:t>
      </w:r>
      <w:r w:rsidR="007A5A0B">
        <w:rPr>
          <w:rStyle w:val="FootnoteReference"/>
          <w:rFonts w:ascii="Times New Roman" w:hAnsi="Times New Roman" w:cs="Times New Roman"/>
          <w:sz w:val="24"/>
          <w:szCs w:val="24"/>
        </w:rPr>
        <w:footnoteReference w:id="70"/>
      </w:r>
      <w:r w:rsidR="0086475A">
        <w:rPr>
          <w:rFonts w:ascii="Times New Roman" w:hAnsi="Times New Roman" w:cs="Times New Roman"/>
          <w:sz w:val="24"/>
          <w:szCs w:val="24"/>
        </w:rPr>
        <w:t xml:space="preserve"> There were also several schools, although their provision of medicine was more effective, particularly when compared to the cadre schools.</w:t>
      </w:r>
      <w:r w:rsidR="0086475A" w:rsidRPr="0086475A">
        <w:rPr>
          <w:rStyle w:val="FootnoteReference"/>
          <w:rFonts w:ascii="Times New Roman" w:hAnsi="Times New Roman" w:cs="Times New Roman"/>
          <w:sz w:val="24"/>
          <w:szCs w:val="24"/>
        </w:rPr>
        <w:t xml:space="preserve"> </w:t>
      </w:r>
      <w:r w:rsidR="0086475A">
        <w:rPr>
          <w:rStyle w:val="FootnoteReference"/>
          <w:rFonts w:ascii="Times New Roman" w:hAnsi="Times New Roman" w:cs="Times New Roman"/>
          <w:sz w:val="24"/>
          <w:szCs w:val="24"/>
        </w:rPr>
        <w:footnoteReference w:id="71"/>
      </w:r>
      <w:r w:rsidR="0086475A">
        <w:rPr>
          <w:rFonts w:ascii="Times New Roman" w:hAnsi="Times New Roman" w:cs="Times New Roman"/>
          <w:sz w:val="24"/>
          <w:szCs w:val="24"/>
        </w:rPr>
        <w:t xml:space="preserve"> These schools did serve to help supplement the group’s</w:t>
      </w:r>
      <w:r w:rsidR="00360CBE">
        <w:rPr>
          <w:rFonts w:ascii="Times New Roman" w:hAnsi="Times New Roman" w:cs="Times New Roman"/>
          <w:sz w:val="24"/>
          <w:szCs w:val="24"/>
        </w:rPr>
        <w:t xml:space="preserve"> military</w:t>
      </w:r>
      <w:r w:rsidR="0086475A">
        <w:rPr>
          <w:rFonts w:ascii="Times New Roman" w:hAnsi="Times New Roman" w:cs="Times New Roman"/>
          <w:sz w:val="24"/>
          <w:szCs w:val="24"/>
        </w:rPr>
        <w:t xml:space="preserve"> leadership, an important element in an ostensibly popular movement. Regardless, they did little to solve the PLO’s lack of </w:t>
      </w:r>
      <w:r w:rsidR="001C37AF">
        <w:rPr>
          <w:rFonts w:ascii="Times New Roman" w:hAnsi="Times New Roman" w:cs="Times New Roman"/>
          <w:sz w:val="24"/>
          <w:szCs w:val="24"/>
        </w:rPr>
        <w:t>homegrown leadership</w:t>
      </w:r>
      <w:r w:rsidR="0086475A">
        <w:rPr>
          <w:rFonts w:ascii="Times New Roman" w:hAnsi="Times New Roman" w:cs="Times New Roman"/>
          <w:sz w:val="24"/>
          <w:szCs w:val="24"/>
        </w:rPr>
        <w:t>; many of the military arm’s officers were Jordanian defectors.</w:t>
      </w:r>
      <w:r w:rsidR="0086475A">
        <w:rPr>
          <w:rStyle w:val="FootnoteReference"/>
          <w:rFonts w:ascii="Times New Roman" w:hAnsi="Times New Roman" w:cs="Times New Roman"/>
          <w:sz w:val="24"/>
          <w:szCs w:val="24"/>
        </w:rPr>
        <w:footnoteReference w:id="72"/>
      </w:r>
    </w:p>
    <w:p w14:paraId="316359A3" w14:textId="77777777" w:rsidR="009F57DF" w:rsidRDefault="009F57DF">
      <w:pPr>
        <w:rPr>
          <w:rFonts w:ascii="Times New Roman" w:hAnsi="Times New Roman" w:cs="Times New Roman"/>
          <w:b/>
          <w:sz w:val="24"/>
          <w:szCs w:val="24"/>
        </w:rPr>
      </w:pPr>
      <w:r>
        <w:rPr>
          <w:rFonts w:ascii="Times New Roman" w:hAnsi="Times New Roman" w:cs="Times New Roman"/>
          <w:b/>
          <w:sz w:val="24"/>
          <w:szCs w:val="24"/>
        </w:rPr>
        <w:t>Laos (1959-1973)</w:t>
      </w:r>
    </w:p>
    <w:p w14:paraId="4B728C18"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t xml:space="preserve">Rebels / Incumbents: </w:t>
      </w:r>
      <w:r w:rsidR="00250B9E">
        <w:rPr>
          <w:rFonts w:ascii="Times New Roman" w:hAnsi="Times New Roman" w:cs="Times New Roman"/>
          <w:sz w:val="24"/>
          <w:szCs w:val="24"/>
        </w:rPr>
        <w:t>Pathet Lao</w:t>
      </w:r>
      <w:r w:rsidR="00180A47">
        <w:rPr>
          <w:rFonts w:ascii="Times New Roman" w:hAnsi="Times New Roman" w:cs="Times New Roman"/>
          <w:sz w:val="24"/>
          <w:szCs w:val="24"/>
        </w:rPr>
        <w:t xml:space="preserve"> (PL)</w:t>
      </w:r>
      <w:r w:rsidR="00250B9E">
        <w:rPr>
          <w:rFonts w:ascii="Times New Roman" w:hAnsi="Times New Roman" w:cs="Times New Roman"/>
          <w:sz w:val="24"/>
          <w:szCs w:val="24"/>
        </w:rPr>
        <w:t xml:space="preserve"> / Kingdom of Laos</w:t>
      </w:r>
    </w:p>
    <w:p w14:paraId="0475524F" w14:textId="77777777"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7F3BA1">
        <w:rPr>
          <w:rFonts w:ascii="Times New Roman" w:hAnsi="Times New Roman" w:cs="Times New Roman"/>
          <w:b/>
          <w:sz w:val="24"/>
          <w:szCs w:val="24"/>
        </w:rPr>
        <w:t>2</w:t>
      </w:r>
      <w:r w:rsidRPr="00F62BA4">
        <w:rPr>
          <w:rFonts w:ascii="Times New Roman" w:hAnsi="Times New Roman" w:cs="Times New Roman"/>
          <w:b/>
          <w:sz w:val="24"/>
          <w:szCs w:val="24"/>
        </w:rPr>
        <w:t xml:space="preserve">; Public Goods: </w:t>
      </w:r>
      <w:r w:rsidR="007F3BA1">
        <w:rPr>
          <w:rFonts w:ascii="Times New Roman" w:hAnsi="Times New Roman" w:cs="Times New Roman"/>
          <w:b/>
          <w:sz w:val="24"/>
          <w:szCs w:val="24"/>
        </w:rPr>
        <w:t>1</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7F3BA1">
        <w:rPr>
          <w:rFonts w:ascii="Times New Roman" w:hAnsi="Times New Roman" w:cs="Times New Roman"/>
          <w:b/>
          <w:sz w:val="24"/>
          <w:szCs w:val="24"/>
        </w:rPr>
        <w:t xml:space="preserve"> </w:t>
      </w:r>
      <w:r w:rsidR="00C2241D">
        <w:rPr>
          <w:rFonts w:ascii="Times New Roman" w:hAnsi="Times New Roman" w:cs="Times New Roman"/>
          <w:b/>
          <w:sz w:val="24"/>
          <w:szCs w:val="24"/>
        </w:rPr>
        <w:t>0</w:t>
      </w:r>
    </w:p>
    <w:p w14:paraId="23E34F28" w14:textId="77777777" w:rsidR="009F57DF" w:rsidRDefault="00250B9E">
      <w:pPr>
        <w:rPr>
          <w:rFonts w:ascii="Times New Roman" w:hAnsi="Times New Roman" w:cs="Times New Roman"/>
          <w:sz w:val="24"/>
          <w:szCs w:val="24"/>
        </w:rPr>
      </w:pPr>
      <w:r>
        <w:rPr>
          <w:rFonts w:ascii="Times New Roman" w:hAnsi="Times New Roman" w:cs="Times New Roman"/>
          <w:sz w:val="24"/>
          <w:szCs w:val="24"/>
        </w:rPr>
        <w:tab/>
        <w:t xml:space="preserve">The Laotian Civil War began when Leftist Laotian guerillas resumed activities in 1959. This could have </w:t>
      </w:r>
      <w:proofErr w:type="gramStart"/>
      <w:r>
        <w:rPr>
          <w:rFonts w:ascii="Times New Roman" w:hAnsi="Times New Roman" w:cs="Times New Roman"/>
          <w:sz w:val="24"/>
          <w:szCs w:val="24"/>
        </w:rPr>
        <w:t>been seen as</w:t>
      </w:r>
      <w:proofErr w:type="gramEnd"/>
      <w:r>
        <w:rPr>
          <w:rFonts w:ascii="Times New Roman" w:hAnsi="Times New Roman" w:cs="Times New Roman"/>
          <w:sz w:val="24"/>
          <w:szCs w:val="24"/>
        </w:rPr>
        <w:t xml:space="preserve"> a surprise, given the deft compromises the parties struck earlier in the decade.</w:t>
      </w:r>
      <w:r w:rsidR="00697092">
        <w:rPr>
          <w:rFonts w:ascii="Times New Roman" w:hAnsi="Times New Roman" w:cs="Times New Roman"/>
          <w:sz w:val="24"/>
          <w:szCs w:val="24"/>
        </w:rPr>
        <w:t xml:space="preserve"> However, as anti-communist political forces consolidated electoral gains and marginalized left-wing figures, the growing American influence appeared to put earlier agreements at risk. They came to a boiling point when efforts were made to incorporate </w:t>
      </w:r>
      <w:r w:rsidR="00180A47">
        <w:rPr>
          <w:rFonts w:ascii="Times New Roman" w:hAnsi="Times New Roman" w:cs="Times New Roman"/>
          <w:sz w:val="24"/>
          <w:szCs w:val="24"/>
        </w:rPr>
        <w:t xml:space="preserve">PL </w:t>
      </w:r>
      <w:r w:rsidR="00697092">
        <w:rPr>
          <w:rFonts w:ascii="Times New Roman" w:hAnsi="Times New Roman" w:cs="Times New Roman"/>
          <w:sz w:val="24"/>
          <w:szCs w:val="24"/>
        </w:rPr>
        <w:t>guerillas into the Laotian military.</w:t>
      </w:r>
      <w:r w:rsidR="00697092">
        <w:rPr>
          <w:rStyle w:val="FootnoteReference"/>
          <w:rFonts w:ascii="Times New Roman" w:hAnsi="Times New Roman" w:cs="Times New Roman"/>
          <w:sz w:val="24"/>
          <w:szCs w:val="24"/>
        </w:rPr>
        <w:footnoteReference w:id="73"/>
      </w:r>
      <w:r w:rsidR="00697092">
        <w:rPr>
          <w:rFonts w:ascii="Times New Roman" w:hAnsi="Times New Roman" w:cs="Times New Roman"/>
          <w:sz w:val="24"/>
          <w:szCs w:val="24"/>
        </w:rPr>
        <w:t xml:space="preserve"> With substantial aid from North Vietnam, the war began in earnest.</w:t>
      </w:r>
    </w:p>
    <w:p w14:paraId="62607CAF" w14:textId="77777777" w:rsidR="00697092" w:rsidRDefault="00697092">
      <w:pPr>
        <w:rPr>
          <w:rFonts w:ascii="Times New Roman" w:hAnsi="Times New Roman" w:cs="Times New Roman"/>
          <w:sz w:val="24"/>
          <w:szCs w:val="24"/>
        </w:rPr>
      </w:pPr>
      <w:r>
        <w:rPr>
          <w:rFonts w:ascii="Times New Roman" w:hAnsi="Times New Roman" w:cs="Times New Roman"/>
          <w:sz w:val="24"/>
          <w:szCs w:val="24"/>
        </w:rPr>
        <w:tab/>
        <w:t xml:space="preserve">This aid’s impact cannot be overstated. Pathet Lao </w:t>
      </w:r>
      <w:r w:rsidR="005C1C45">
        <w:rPr>
          <w:rFonts w:ascii="Times New Roman" w:hAnsi="Times New Roman" w:cs="Times New Roman"/>
          <w:sz w:val="24"/>
          <w:szCs w:val="24"/>
        </w:rPr>
        <w:t>relied heavily</w:t>
      </w:r>
      <w:r>
        <w:rPr>
          <w:rFonts w:ascii="Times New Roman" w:hAnsi="Times New Roman" w:cs="Times New Roman"/>
          <w:sz w:val="24"/>
          <w:szCs w:val="24"/>
        </w:rPr>
        <w:t xml:space="preserve"> </w:t>
      </w:r>
      <w:r w:rsidR="005C1C45">
        <w:rPr>
          <w:rFonts w:ascii="Times New Roman" w:hAnsi="Times New Roman" w:cs="Times New Roman"/>
          <w:sz w:val="24"/>
          <w:szCs w:val="24"/>
        </w:rPr>
        <w:t>up</w:t>
      </w:r>
      <w:r>
        <w:rPr>
          <w:rFonts w:ascii="Times New Roman" w:hAnsi="Times New Roman" w:cs="Times New Roman"/>
          <w:sz w:val="24"/>
          <w:szCs w:val="24"/>
        </w:rPr>
        <w:t>on their Vietnamese patrons,</w:t>
      </w:r>
      <w:r w:rsidR="00626127">
        <w:rPr>
          <w:rFonts w:ascii="Times New Roman" w:hAnsi="Times New Roman" w:cs="Times New Roman"/>
          <w:sz w:val="24"/>
          <w:szCs w:val="24"/>
        </w:rPr>
        <w:t xml:space="preserve"> just as the Royal Laotian Government</w:t>
      </w:r>
      <w:r w:rsidR="00425B30">
        <w:rPr>
          <w:rFonts w:ascii="Times New Roman" w:hAnsi="Times New Roman" w:cs="Times New Roman"/>
          <w:sz w:val="24"/>
          <w:szCs w:val="24"/>
        </w:rPr>
        <w:t xml:space="preserve"> (RLG)</w:t>
      </w:r>
      <w:r w:rsidR="00626127">
        <w:rPr>
          <w:rFonts w:ascii="Times New Roman" w:hAnsi="Times New Roman" w:cs="Times New Roman"/>
          <w:sz w:val="24"/>
          <w:szCs w:val="24"/>
        </w:rPr>
        <w:t xml:space="preserve"> was on their American patrons.</w:t>
      </w:r>
      <w:r w:rsidR="00626127">
        <w:rPr>
          <w:rStyle w:val="FootnoteReference"/>
          <w:rFonts w:ascii="Times New Roman" w:hAnsi="Times New Roman" w:cs="Times New Roman"/>
          <w:sz w:val="24"/>
          <w:szCs w:val="24"/>
        </w:rPr>
        <w:footnoteReference w:id="74"/>
      </w:r>
      <w:r w:rsidR="00B62E0A">
        <w:rPr>
          <w:rFonts w:ascii="Times New Roman" w:hAnsi="Times New Roman" w:cs="Times New Roman"/>
          <w:sz w:val="24"/>
          <w:szCs w:val="24"/>
        </w:rPr>
        <w:t xml:space="preserve"> Where </w:t>
      </w:r>
      <w:r w:rsidR="00180A47">
        <w:rPr>
          <w:rFonts w:ascii="Times New Roman" w:hAnsi="Times New Roman" w:cs="Times New Roman"/>
          <w:sz w:val="24"/>
          <w:szCs w:val="24"/>
        </w:rPr>
        <w:t>PL</w:t>
      </w:r>
      <w:r w:rsidR="00B62E0A">
        <w:rPr>
          <w:rFonts w:ascii="Times New Roman" w:hAnsi="Times New Roman" w:cs="Times New Roman"/>
          <w:sz w:val="24"/>
          <w:szCs w:val="24"/>
        </w:rPr>
        <w:t xml:space="preserve"> was concerned, this was true both</w:t>
      </w:r>
      <w:r>
        <w:rPr>
          <w:rFonts w:ascii="Times New Roman" w:hAnsi="Times New Roman" w:cs="Times New Roman"/>
          <w:sz w:val="24"/>
          <w:szCs w:val="24"/>
        </w:rPr>
        <w:t xml:space="preserve"> in terms of fighting forces and in terms of establishing parallel governance structures. </w:t>
      </w:r>
      <w:r w:rsidR="005C1C45">
        <w:rPr>
          <w:rFonts w:ascii="Times New Roman" w:hAnsi="Times New Roman" w:cs="Times New Roman"/>
          <w:sz w:val="24"/>
          <w:szCs w:val="24"/>
        </w:rPr>
        <w:t xml:space="preserve">However, the relationship between </w:t>
      </w:r>
      <w:r w:rsidR="00180A47">
        <w:rPr>
          <w:rFonts w:ascii="Times New Roman" w:hAnsi="Times New Roman" w:cs="Times New Roman"/>
          <w:sz w:val="24"/>
          <w:szCs w:val="24"/>
        </w:rPr>
        <w:t>PL</w:t>
      </w:r>
      <w:r w:rsidR="005C1C45">
        <w:rPr>
          <w:rFonts w:ascii="Times New Roman" w:hAnsi="Times New Roman" w:cs="Times New Roman"/>
          <w:sz w:val="24"/>
          <w:szCs w:val="24"/>
        </w:rPr>
        <w:t xml:space="preserve"> and Hanoi was much more amicable than Hanoi’s relationship with the Khmer Rouge.</w:t>
      </w:r>
      <w:r w:rsidR="00D77310">
        <w:rPr>
          <w:rFonts w:ascii="Times New Roman" w:hAnsi="Times New Roman" w:cs="Times New Roman"/>
          <w:sz w:val="24"/>
          <w:szCs w:val="24"/>
        </w:rPr>
        <w:t xml:space="preserve"> The fruits of this cooperation </w:t>
      </w:r>
      <w:proofErr w:type="gramStart"/>
      <w:r w:rsidR="00D77310">
        <w:rPr>
          <w:rFonts w:ascii="Times New Roman" w:hAnsi="Times New Roman" w:cs="Times New Roman"/>
          <w:sz w:val="24"/>
          <w:szCs w:val="24"/>
        </w:rPr>
        <w:t>was</w:t>
      </w:r>
      <w:proofErr w:type="gramEnd"/>
      <w:r w:rsidR="00D77310">
        <w:rPr>
          <w:rFonts w:ascii="Times New Roman" w:hAnsi="Times New Roman" w:cs="Times New Roman"/>
          <w:sz w:val="24"/>
          <w:szCs w:val="24"/>
        </w:rPr>
        <w:t xml:space="preserve"> an extensive administrative apparatus operable even before the war began in 1959.</w:t>
      </w:r>
      <w:r w:rsidR="00D77310">
        <w:rPr>
          <w:rStyle w:val="FootnoteReference"/>
          <w:rFonts w:ascii="Times New Roman" w:hAnsi="Times New Roman" w:cs="Times New Roman"/>
          <w:sz w:val="24"/>
          <w:szCs w:val="24"/>
        </w:rPr>
        <w:footnoteReference w:id="75"/>
      </w:r>
    </w:p>
    <w:p w14:paraId="2A9C2688" w14:textId="77777777" w:rsidR="005C1C45" w:rsidRDefault="005C1C45">
      <w:pPr>
        <w:rPr>
          <w:rFonts w:ascii="Times New Roman" w:hAnsi="Times New Roman" w:cs="Times New Roman"/>
          <w:sz w:val="24"/>
          <w:szCs w:val="24"/>
        </w:rPr>
      </w:pPr>
      <w:r>
        <w:rPr>
          <w:rFonts w:ascii="Times New Roman" w:hAnsi="Times New Roman" w:cs="Times New Roman"/>
          <w:sz w:val="24"/>
          <w:szCs w:val="24"/>
        </w:rPr>
        <w:tab/>
        <w:t xml:space="preserve">Similar to Vietnamese organizational model, Laotian communists sought to imbue extant relationships such as familial ties with revolutionary significance, rather than replace them with </w:t>
      </w:r>
      <w:r>
        <w:rPr>
          <w:rFonts w:ascii="Times New Roman" w:hAnsi="Times New Roman" w:cs="Times New Roman"/>
          <w:sz w:val="24"/>
          <w:szCs w:val="24"/>
        </w:rPr>
        <w:lastRenderedPageBreak/>
        <w:t>ties to party.</w:t>
      </w:r>
      <w:r w:rsidR="00FB4904">
        <w:rPr>
          <w:rStyle w:val="FootnoteReference"/>
          <w:rFonts w:ascii="Times New Roman" w:hAnsi="Times New Roman" w:cs="Times New Roman"/>
          <w:sz w:val="24"/>
          <w:szCs w:val="24"/>
        </w:rPr>
        <w:footnoteReference w:id="76"/>
      </w:r>
      <w:r>
        <w:rPr>
          <w:rFonts w:ascii="Times New Roman" w:hAnsi="Times New Roman" w:cs="Times New Roman"/>
          <w:sz w:val="24"/>
          <w:szCs w:val="24"/>
        </w:rPr>
        <w:t xml:space="preserve"> This is not to say that </w:t>
      </w:r>
      <w:r w:rsidR="00180A47">
        <w:rPr>
          <w:rFonts w:ascii="Times New Roman" w:hAnsi="Times New Roman" w:cs="Times New Roman"/>
          <w:sz w:val="24"/>
          <w:szCs w:val="24"/>
        </w:rPr>
        <w:t>PL</w:t>
      </w:r>
      <w:r>
        <w:rPr>
          <w:rFonts w:ascii="Times New Roman" w:hAnsi="Times New Roman" w:cs="Times New Roman"/>
          <w:sz w:val="24"/>
          <w:szCs w:val="24"/>
        </w:rPr>
        <w:t xml:space="preserve"> did not seek to control their charges, though.</w:t>
      </w:r>
      <w:r w:rsidR="00B7037C">
        <w:rPr>
          <w:rStyle w:val="FootnoteReference"/>
          <w:rFonts w:ascii="Times New Roman" w:hAnsi="Times New Roman" w:cs="Times New Roman"/>
          <w:sz w:val="24"/>
          <w:szCs w:val="24"/>
        </w:rPr>
        <w:footnoteReference w:id="77"/>
      </w:r>
      <w:r>
        <w:rPr>
          <w:rFonts w:ascii="Times New Roman" w:hAnsi="Times New Roman" w:cs="Times New Roman"/>
          <w:sz w:val="24"/>
          <w:szCs w:val="24"/>
        </w:rPr>
        <w:t xml:space="preserve"> Both policing and juridical functions were applied to great effect for this purpose.</w:t>
      </w:r>
      <w:r w:rsidR="007F3BA1">
        <w:rPr>
          <w:rStyle w:val="FootnoteReference"/>
          <w:rFonts w:ascii="Times New Roman" w:hAnsi="Times New Roman" w:cs="Times New Roman"/>
          <w:sz w:val="24"/>
          <w:szCs w:val="24"/>
        </w:rPr>
        <w:footnoteReference w:id="78"/>
      </w:r>
      <w:r>
        <w:rPr>
          <w:rFonts w:ascii="Times New Roman" w:hAnsi="Times New Roman" w:cs="Times New Roman"/>
          <w:sz w:val="24"/>
          <w:szCs w:val="24"/>
        </w:rPr>
        <w:t xml:space="preserve"> Alongside an extensive propaganda campaign, non-revolutionary behaviors were identified, prosecuted, and punished</w:t>
      </w:r>
      <w:r w:rsidR="00B7037C">
        <w:rPr>
          <w:rFonts w:ascii="Times New Roman" w:hAnsi="Times New Roman" w:cs="Times New Roman"/>
          <w:sz w:val="24"/>
          <w:szCs w:val="24"/>
        </w:rPr>
        <w:t>, albeit euphemistically</w:t>
      </w:r>
      <w:r w:rsidR="0010578C">
        <w:rPr>
          <w:rFonts w:ascii="Times New Roman" w:hAnsi="Times New Roman" w:cs="Times New Roman"/>
          <w:sz w:val="24"/>
          <w:szCs w:val="24"/>
        </w:rPr>
        <w:t xml:space="preserve"> as “periods of study.” Alternatively, an individual may be ostracized from their village or, if the offense is deemed serious enough, they may be tried by a secret tribunal</w:t>
      </w:r>
      <w:r w:rsidR="007F3BA1">
        <w:rPr>
          <w:rFonts w:ascii="Times New Roman" w:hAnsi="Times New Roman" w:cs="Times New Roman"/>
          <w:sz w:val="24"/>
          <w:szCs w:val="24"/>
        </w:rPr>
        <w:t>:</w:t>
      </w:r>
      <w:r w:rsidR="007F3BA1">
        <w:rPr>
          <w:rStyle w:val="FootnoteReference"/>
          <w:rFonts w:ascii="Times New Roman" w:hAnsi="Times New Roman" w:cs="Times New Roman"/>
          <w:sz w:val="24"/>
          <w:szCs w:val="24"/>
        </w:rPr>
        <w:footnoteReference w:id="79"/>
      </w:r>
      <w:r w:rsidR="007F3BA1">
        <w:rPr>
          <w:rFonts w:ascii="Times New Roman" w:hAnsi="Times New Roman" w:cs="Times New Roman"/>
          <w:sz w:val="24"/>
          <w:szCs w:val="24"/>
        </w:rPr>
        <w:t xml:space="preserve"> “if the offender did not return to his home, the other villagers deduced the verdict.”</w:t>
      </w:r>
      <w:r w:rsidR="007F3BA1">
        <w:rPr>
          <w:rStyle w:val="FootnoteReference"/>
          <w:rFonts w:ascii="Times New Roman" w:hAnsi="Times New Roman" w:cs="Times New Roman"/>
          <w:sz w:val="24"/>
          <w:szCs w:val="24"/>
        </w:rPr>
        <w:footnoteReference w:id="80"/>
      </w:r>
      <w:r w:rsidR="007F3BA1">
        <w:rPr>
          <w:rFonts w:ascii="Times New Roman" w:hAnsi="Times New Roman" w:cs="Times New Roman"/>
          <w:sz w:val="24"/>
          <w:szCs w:val="24"/>
        </w:rPr>
        <w:t xml:space="preserve"> Thus, the “liberated zones” were tightly controlled by the Laotian rebels. </w:t>
      </w:r>
    </w:p>
    <w:p w14:paraId="437F0AE5" w14:textId="77777777" w:rsidR="007F1927" w:rsidRDefault="007F1927">
      <w:pPr>
        <w:rPr>
          <w:rFonts w:ascii="Times New Roman" w:hAnsi="Times New Roman" w:cs="Times New Roman"/>
          <w:sz w:val="24"/>
          <w:szCs w:val="24"/>
        </w:rPr>
      </w:pPr>
      <w:r>
        <w:rPr>
          <w:rFonts w:ascii="Times New Roman" w:hAnsi="Times New Roman" w:cs="Times New Roman"/>
          <w:sz w:val="24"/>
          <w:szCs w:val="24"/>
        </w:rPr>
        <w:tab/>
        <w:t xml:space="preserve">Despite this emphasis on control, the party did extensively recruit members from the villages. </w:t>
      </w:r>
      <w:r w:rsidR="00607636">
        <w:rPr>
          <w:rFonts w:ascii="Times New Roman" w:hAnsi="Times New Roman" w:cs="Times New Roman"/>
          <w:sz w:val="24"/>
          <w:szCs w:val="24"/>
        </w:rPr>
        <w:t>M</w:t>
      </w:r>
      <w:r>
        <w:rPr>
          <w:rFonts w:ascii="Times New Roman" w:hAnsi="Times New Roman" w:cs="Times New Roman"/>
          <w:sz w:val="24"/>
          <w:szCs w:val="24"/>
        </w:rPr>
        <w:t>ost opportunities were in mass organizations (in which membership was voluntary in name only),</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the party also recruited leadership from locally recruited cadres.</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 xml:space="preserve"> This contrasts with the R</w:t>
      </w:r>
      <w:r w:rsidR="00425B30">
        <w:rPr>
          <w:rFonts w:ascii="Times New Roman" w:hAnsi="Times New Roman" w:cs="Times New Roman"/>
          <w:sz w:val="24"/>
          <w:szCs w:val="24"/>
        </w:rPr>
        <w:t>LG</w:t>
      </w:r>
      <w:r>
        <w:rPr>
          <w:rFonts w:ascii="Times New Roman" w:hAnsi="Times New Roman" w:cs="Times New Roman"/>
          <w:sz w:val="24"/>
          <w:szCs w:val="24"/>
        </w:rPr>
        <w:t>, as its recruitment of officials allows advancement within the village level, but no further.</w:t>
      </w:r>
      <w:r w:rsidR="00607636">
        <w:rPr>
          <w:rFonts w:ascii="Times New Roman" w:hAnsi="Times New Roman" w:cs="Times New Roman"/>
          <w:sz w:val="24"/>
          <w:szCs w:val="24"/>
        </w:rPr>
        <w:t xml:space="preserve"> While there was no opportunity to contribute to new policy as only the most enthusiastically loyal were considered for these positions, this is worth noting.</w:t>
      </w:r>
    </w:p>
    <w:p w14:paraId="7BD1C4B6" w14:textId="77777777" w:rsidR="00425B30" w:rsidRDefault="00425B30">
      <w:pPr>
        <w:rPr>
          <w:rFonts w:ascii="Times New Roman" w:hAnsi="Times New Roman" w:cs="Times New Roman"/>
          <w:sz w:val="24"/>
          <w:szCs w:val="24"/>
        </w:rPr>
      </w:pPr>
      <w:r>
        <w:rPr>
          <w:rFonts w:ascii="Times New Roman" w:hAnsi="Times New Roman" w:cs="Times New Roman"/>
          <w:sz w:val="24"/>
          <w:szCs w:val="24"/>
        </w:rPr>
        <w:tab/>
      </w:r>
      <w:r w:rsidR="00C2241D">
        <w:rPr>
          <w:rFonts w:ascii="Times New Roman" w:hAnsi="Times New Roman" w:cs="Times New Roman"/>
          <w:sz w:val="24"/>
          <w:szCs w:val="24"/>
        </w:rPr>
        <w:t>T</w:t>
      </w:r>
      <w:r>
        <w:rPr>
          <w:rFonts w:ascii="Times New Roman" w:hAnsi="Times New Roman" w:cs="Times New Roman"/>
          <w:sz w:val="24"/>
          <w:szCs w:val="24"/>
        </w:rPr>
        <w:t>heir provision of education is well-documented. Laos’s prewar education system was essentially inaccessible to most Laotians.</w:t>
      </w:r>
      <w:r>
        <w:rPr>
          <w:rStyle w:val="FootnoteReference"/>
          <w:rFonts w:ascii="Times New Roman" w:hAnsi="Times New Roman" w:cs="Times New Roman"/>
          <w:sz w:val="24"/>
          <w:szCs w:val="24"/>
        </w:rPr>
        <w:footnoteReference w:id="83"/>
      </w:r>
      <w:r>
        <w:rPr>
          <w:rFonts w:ascii="Times New Roman" w:hAnsi="Times New Roman" w:cs="Times New Roman"/>
          <w:sz w:val="24"/>
          <w:szCs w:val="24"/>
        </w:rPr>
        <w:t xml:space="preserve"> Education in the liberated zones</w:t>
      </w:r>
      <w:r w:rsidR="000B323B">
        <w:rPr>
          <w:rFonts w:ascii="Times New Roman" w:hAnsi="Times New Roman" w:cs="Times New Roman"/>
          <w:sz w:val="24"/>
          <w:szCs w:val="24"/>
        </w:rPr>
        <w:t xml:space="preserve"> was heavy on indoctrination,</w:t>
      </w:r>
      <w:r w:rsidR="000B323B">
        <w:rPr>
          <w:rStyle w:val="FootnoteReference"/>
          <w:rFonts w:ascii="Times New Roman" w:hAnsi="Times New Roman" w:cs="Times New Roman"/>
          <w:sz w:val="24"/>
          <w:szCs w:val="24"/>
        </w:rPr>
        <w:footnoteReference w:id="84"/>
      </w:r>
      <w:r w:rsidR="000B323B">
        <w:rPr>
          <w:rFonts w:ascii="Times New Roman" w:hAnsi="Times New Roman" w:cs="Times New Roman"/>
          <w:sz w:val="24"/>
          <w:szCs w:val="24"/>
        </w:rPr>
        <w:t xml:space="preserve"> but </w:t>
      </w:r>
      <w:r w:rsidR="007A39C2">
        <w:rPr>
          <w:rFonts w:ascii="Times New Roman" w:hAnsi="Times New Roman" w:cs="Times New Roman"/>
          <w:sz w:val="24"/>
          <w:szCs w:val="24"/>
        </w:rPr>
        <w:t>it</w:t>
      </w:r>
      <w:r w:rsidR="000B323B">
        <w:rPr>
          <w:rFonts w:ascii="Times New Roman" w:hAnsi="Times New Roman" w:cs="Times New Roman"/>
          <w:sz w:val="24"/>
          <w:szCs w:val="24"/>
        </w:rPr>
        <w:t xml:space="preserve"> represented a substantial improvement over previous educational provision</w:t>
      </w:r>
      <w:r w:rsidR="007B4CCC">
        <w:rPr>
          <w:rFonts w:ascii="Times New Roman" w:hAnsi="Times New Roman" w:cs="Times New Roman"/>
          <w:sz w:val="24"/>
          <w:szCs w:val="24"/>
        </w:rPr>
        <w:t xml:space="preserve"> and was a source of propaganda for the party</w:t>
      </w:r>
      <w:r w:rsidR="007A39C2">
        <w:rPr>
          <w:rFonts w:ascii="Times New Roman" w:hAnsi="Times New Roman" w:cs="Times New Roman"/>
          <w:sz w:val="24"/>
          <w:szCs w:val="24"/>
        </w:rPr>
        <w:t>.</w:t>
      </w:r>
      <w:r w:rsidR="007B4CCC">
        <w:rPr>
          <w:rStyle w:val="FootnoteReference"/>
          <w:rFonts w:ascii="Times New Roman" w:hAnsi="Times New Roman" w:cs="Times New Roman"/>
          <w:sz w:val="24"/>
          <w:szCs w:val="24"/>
        </w:rPr>
        <w:footnoteReference w:id="85"/>
      </w:r>
      <w:r w:rsidR="007A39C2">
        <w:rPr>
          <w:rFonts w:ascii="Times New Roman" w:hAnsi="Times New Roman" w:cs="Times New Roman"/>
          <w:sz w:val="24"/>
          <w:szCs w:val="24"/>
        </w:rPr>
        <w:t xml:space="preserve"> This was put to strategic use, as the promise of literacy was used to entice villagers to take up arms in the war.</w:t>
      </w:r>
      <w:r w:rsidR="007A39C2">
        <w:rPr>
          <w:rStyle w:val="FootnoteReference"/>
          <w:rFonts w:ascii="Times New Roman" w:hAnsi="Times New Roman" w:cs="Times New Roman"/>
          <w:sz w:val="24"/>
          <w:szCs w:val="24"/>
        </w:rPr>
        <w:footnoteReference w:id="86"/>
      </w:r>
    </w:p>
    <w:p w14:paraId="39746BEF" w14:textId="77777777" w:rsidR="0063196A" w:rsidRDefault="0063196A">
      <w:pPr>
        <w:rPr>
          <w:rFonts w:ascii="Times New Roman" w:hAnsi="Times New Roman" w:cs="Times New Roman"/>
          <w:sz w:val="24"/>
          <w:szCs w:val="24"/>
        </w:rPr>
      </w:pPr>
      <w:r>
        <w:rPr>
          <w:rFonts w:ascii="Times New Roman" w:hAnsi="Times New Roman" w:cs="Times New Roman"/>
          <w:sz w:val="24"/>
          <w:szCs w:val="24"/>
        </w:rPr>
        <w:tab/>
        <w:t xml:space="preserve">Little is known about </w:t>
      </w:r>
      <w:r w:rsidR="00180A47">
        <w:rPr>
          <w:rFonts w:ascii="Times New Roman" w:hAnsi="Times New Roman" w:cs="Times New Roman"/>
          <w:sz w:val="24"/>
          <w:szCs w:val="24"/>
        </w:rPr>
        <w:t>PL</w:t>
      </w:r>
      <w:r>
        <w:rPr>
          <w:rFonts w:ascii="Times New Roman" w:hAnsi="Times New Roman" w:cs="Times New Roman"/>
          <w:sz w:val="24"/>
          <w:szCs w:val="24"/>
        </w:rPr>
        <w:t>’s efforts at providing healthcare aside from instructions given to cadres that they “give medical care to tribal peoples.”</w:t>
      </w:r>
      <w:r>
        <w:rPr>
          <w:rStyle w:val="FootnoteReference"/>
          <w:rFonts w:ascii="Times New Roman" w:hAnsi="Times New Roman" w:cs="Times New Roman"/>
          <w:sz w:val="24"/>
          <w:szCs w:val="24"/>
        </w:rPr>
        <w:footnoteReference w:id="87"/>
      </w:r>
      <w:r>
        <w:rPr>
          <w:rFonts w:ascii="Times New Roman" w:hAnsi="Times New Roman" w:cs="Times New Roman"/>
          <w:sz w:val="24"/>
          <w:szCs w:val="24"/>
        </w:rPr>
        <w:t xml:space="preserve"> For instance, there are few </w:t>
      </w:r>
      <w:r w:rsidR="00FF4CF4">
        <w:rPr>
          <w:rFonts w:ascii="Times New Roman" w:hAnsi="Times New Roman" w:cs="Times New Roman"/>
          <w:sz w:val="24"/>
          <w:szCs w:val="24"/>
        </w:rPr>
        <w:t>mentions of tangible healthcare infrastructure. However, Buddhist monks, in addition to being encouraged (or forced) to undergo “re-education”</w:t>
      </w:r>
      <w:r>
        <w:rPr>
          <w:rFonts w:ascii="Times New Roman" w:hAnsi="Times New Roman" w:cs="Times New Roman"/>
          <w:sz w:val="24"/>
          <w:szCs w:val="24"/>
        </w:rPr>
        <w:t xml:space="preserve"> </w:t>
      </w:r>
      <w:r w:rsidR="00FF4CF4">
        <w:rPr>
          <w:rFonts w:ascii="Times New Roman" w:hAnsi="Times New Roman" w:cs="Times New Roman"/>
          <w:sz w:val="24"/>
          <w:szCs w:val="24"/>
        </w:rPr>
        <w:t>were urged to help care fore the sick and injured in their vicinity. The extent and timing of this development are difficult to pin down though, as it was only codified as policy in 1976.</w:t>
      </w:r>
      <w:r w:rsidR="00FF4CF4">
        <w:rPr>
          <w:rStyle w:val="FootnoteReference"/>
          <w:rFonts w:ascii="Times New Roman" w:hAnsi="Times New Roman" w:cs="Times New Roman"/>
          <w:sz w:val="24"/>
          <w:szCs w:val="24"/>
        </w:rPr>
        <w:footnoteReference w:id="88"/>
      </w:r>
    </w:p>
    <w:p w14:paraId="425D865E" w14:textId="77777777" w:rsidR="009F57DF" w:rsidRDefault="009F57DF">
      <w:pPr>
        <w:rPr>
          <w:rFonts w:ascii="Times New Roman" w:hAnsi="Times New Roman" w:cs="Times New Roman"/>
          <w:b/>
          <w:sz w:val="24"/>
          <w:szCs w:val="24"/>
        </w:rPr>
      </w:pPr>
      <w:r>
        <w:rPr>
          <w:rFonts w:ascii="Times New Roman" w:hAnsi="Times New Roman" w:cs="Times New Roman"/>
          <w:b/>
          <w:sz w:val="24"/>
          <w:szCs w:val="24"/>
        </w:rPr>
        <w:t>Laos (1975)</w:t>
      </w:r>
    </w:p>
    <w:p w14:paraId="18F8961F"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lastRenderedPageBreak/>
        <w:t xml:space="preserve">Rebels / Incumbents: </w:t>
      </w:r>
      <w:r w:rsidR="00180A47">
        <w:rPr>
          <w:rFonts w:ascii="Times New Roman" w:hAnsi="Times New Roman" w:cs="Times New Roman"/>
          <w:sz w:val="24"/>
          <w:szCs w:val="24"/>
        </w:rPr>
        <w:t>PL / Kingdom of Laos</w:t>
      </w:r>
    </w:p>
    <w:p w14:paraId="13A3F22A" w14:textId="77777777"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9B5527">
        <w:rPr>
          <w:rFonts w:ascii="Times New Roman" w:hAnsi="Times New Roman" w:cs="Times New Roman"/>
          <w:b/>
          <w:sz w:val="24"/>
          <w:szCs w:val="24"/>
        </w:rPr>
        <w:t>1</w:t>
      </w:r>
      <w:r w:rsidRPr="00F62BA4">
        <w:rPr>
          <w:rFonts w:ascii="Times New Roman" w:hAnsi="Times New Roman" w:cs="Times New Roman"/>
          <w:b/>
          <w:sz w:val="24"/>
          <w:szCs w:val="24"/>
        </w:rPr>
        <w:t xml:space="preserve">; Public Goods: </w:t>
      </w:r>
      <w:r w:rsidR="00507DE3">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507DE3">
        <w:rPr>
          <w:rFonts w:ascii="Times New Roman" w:hAnsi="Times New Roman" w:cs="Times New Roman"/>
          <w:b/>
          <w:sz w:val="24"/>
          <w:szCs w:val="24"/>
        </w:rPr>
        <w:t xml:space="preserve"> 0</w:t>
      </w:r>
    </w:p>
    <w:p w14:paraId="138DF300" w14:textId="77777777" w:rsidR="009F57DF" w:rsidRDefault="0077317D">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Following a cease-fire in 1973 and the formation of a coalition government in 1974, </w:t>
      </w:r>
      <w:r w:rsidR="00180A47">
        <w:rPr>
          <w:rFonts w:ascii="Times New Roman" w:hAnsi="Times New Roman" w:cs="Times New Roman"/>
          <w:sz w:val="24"/>
          <w:szCs w:val="24"/>
        </w:rPr>
        <w:t>Pathet Lao’s patrons in Hanoi pushed the rebels to topple the government in 1975. This is a bit odd, given the privileged position the Pathet Lao enjoyed in this coalition. The National Political Consultative Council, formed at the coalition’s genesis, allowed the Pathet Lao to circumvent legislative checks on its power, and its 18-point plan was gaining broad acceptance within the population. Communist victories in Vietnam and Cambodia caused Hanoi to push for action and so PL abandoned the plan for a slow transition.</w:t>
      </w:r>
      <w:r w:rsidR="00180A47">
        <w:rPr>
          <w:rStyle w:val="FootnoteReference"/>
          <w:rFonts w:ascii="Times New Roman" w:hAnsi="Times New Roman" w:cs="Times New Roman"/>
          <w:sz w:val="24"/>
          <w:szCs w:val="24"/>
        </w:rPr>
        <w:footnoteReference w:id="89"/>
      </w:r>
    </w:p>
    <w:p w14:paraId="47B01440" w14:textId="77777777" w:rsidR="00EE7B79" w:rsidRDefault="00180A47">
      <w:pPr>
        <w:rPr>
          <w:rFonts w:ascii="Times New Roman" w:hAnsi="Times New Roman" w:cs="Times New Roman"/>
          <w:sz w:val="24"/>
          <w:szCs w:val="24"/>
        </w:rPr>
      </w:pPr>
      <w:r>
        <w:rPr>
          <w:rFonts w:ascii="Times New Roman" w:hAnsi="Times New Roman" w:cs="Times New Roman"/>
          <w:sz w:val="24"/>
          <w:szCs w:val="24"/>
        </w:rPr>
        <w:tab/>
      </w:r>
      <w:r w:rsidR="00EE7B79">
        <w:rPr>
          <w:rFonts w:ascii="Times New Roman" w:hAnsi="Times New Roman" w:cs="Times New Roman"/>
          <w:sz w:val="24"/>
          <w:szCs w:val="24"/>
        </w:rPr>
        <w:t>By 1975, PL were exercising power with little regard for their coalition partners. Having gained control of many of Laos’s levers of power as well as popular support for their apparently moderate 18-point plan, rightist elements were quickly defeated or marginalized.</w:t>
      </w:r>
      <w:r w:rsidR="00EE7B79">
        <w:rPr>
          <w:rStyle w:val="FootnoteReference"/>
          <w:rFonts w:ascii="Times New Roman" w:hAnsi="Times New Roman" w:cs="Times New Roman"/>
          <w:sz w:val="24"/>
          <w:szCs w:val="24"/>
        </w:rPr>
        <w:footnoteReference w:id="90"/>
      </w:r>
      <w:r w:rsidR="00EE7B79">
        <w:rPr>
          <w:rFonts w:ascii="Times New Roman" w:hAnsi="Times New Roman" w:cs="Times New Roman"/>
          <w:sz w:val="24"/>
          <w:szCs w:val="24"/>
        </w:rPr>
        <w:t xml:space="preserve"> Prince </w:t>
      </w:r>
      <w:proofErr w:type="spellStart"/>
      <w:r w:rsidR="00EE7B79" w:rsidRPr="00EE7B79">
        <w:rPr>
          <w:rFonts w:ascii="Times New Roman" w:hAnsi="Times New Roman" w:cs="Times New Roman"/>
          <w:sz w:val="24"/>
          <w:szCs w:val="24"/>
        </w:rPr>
        <w:t>Souphanouvon</w:t>
      </w:r>
      <w:proofErr w:type="spellEnd"/>
      <w:r w:rsidR="00EE7B79">
        <w:rPr>
          <w:rFonts w:ascii="Times New Roman" w:hAnsi="Times New Roman" w:cs="Times New Roman"/>
          <w:sz w:val="24"/>
          <w:szCs w:val="24"/>
        </w:rPr>
        <w:t>, a noted leader of the PL (but, interestingly, a member of the otherwise “re-educated” royal family) was installed as Laos’s president and the Kingdom of Laos was replaced by the Lao People’s Democratic Republic.</w:t>
      </w:r>
    </w:p>
    <w:p w14:paraId="4905BF81" w14:textId="77777777" w:rsidR="009B5527" w:rsidRDefault="00EE7B79">
      <w:pPr>
        <w:rPr>
          <w:rFonts w:ascii="Times New Roman" w:hAnsi="Times New Roman" w:cs="Times New Roman"/>
          <w:sz w:val="24"/>
          <w:szCs w:val="24"/>
        </w:rPr>
      </w:pPr>
      <w:r>
        <w:rPr>
          <w:rFonts w:ascii="Times New Roman" w:hAnsi="Times New Roman" w:cs="Times New Roman"/>
          <w:sz w:val="24"/>
          <w:szCs w:val="24"/>
        </w:rPr>
        <w:tab/>
      </w:r>
      <w:r w:rsidR="00466977">
        <w:rPr>
          <w:rFonts w:ascii="Times New Roman" w:hAnsi="Times New Roman" w:cs="Times New Roman"/>
          <w:sz w:val="24"/>
          <w:szCs w:val="24"/>
        </w:rPr>
        <w:t xml:space="preserve">Although technically a war, the seizure of power was relatively peaceful when compared to other revolutions. Indeed, </w:t>
      </w:r>
      <w:proofErr w:type="gramStart"/>
      <w:r w:rsidR="00466977">
        <w:rPr>
          <w:rFonts w:ascii="Times New Roman" w:hAnsi="Times New Roman" w:cs="Times New Roman"/>
          <w:sz w:val="24"/>
          <w:szCs w:val="24"/>
        </w:rPr>
        <w:t>a number of</w:t>
      </w:r>
      <w:proofErr w:type="gramEnd"/>
      <w:r w:rsidR="00466977">
        <w:rPr>
          <w:rFonts w:ascii="Times New Roman" w:hAnsi="Times New Roman" w:cs="Times New Roman"/>
          <w:sz w:val="24"/>
          <w:szCs w:val="24"/>
        </w:rPr>
        <w:t xml:space="preserve"> Laotians voluntarily attended “re-education” seminars in PL controlled territory</w:t>
      </w:r>
      <w:r w:rsidR="00507DE3">
        <w:rPr>
          <w:rFonts w:ascii="Times New Roman" w:hAnsi="Times New Roman" w:cs="Times New Roman"/>
          <w:sz w:val="24"/>
          <w:szCs w:val="24"/>
        </w:rPr>
        <w:t xml:space="preserve">, thinking this the only way to stay in the country under the emergent regime. The rapidity with which the revolution took place meant that </w:t>
      </w:r>
      <w:r w:rsidR="009B5527">
        <w:rPr>
          <w:rFonts w:ascii="Times New Roman" w:hAnsi="Times New Roman" w:cs="Times New Roman"/>
          <w:sz w:val="24"/>
          <w:szCs w:val="24"/>
        </w:rPr>
        <w:t>few</w:t>
      </w:r>
      <w:r w:rsidR="00507DE3">
        <w:rPr>
          <w:rFonts w:ascii="Times New Roman" w:hAnsi="Times New Roman" w:cs="Times New Roman"/>
          <w:sz w:val="24"/>
          <w:szCs w:val="24"/>
        </w:rPr>
        <w:t xml:space="preserve"> new apparatuses could be constructed in the interim, though.</w:t>
      </w:r>
      <w:r w:rsidR="00507DE3">
        <w:rPr>
          <w:rStyle w:val="FootnoteReference"/>
          <w:rFonts w:ascii="Times New Roman" w:hAnsi="Times New Roman" w:cs="Times New Roman"/>
          <w:sz w:val="24"/>
          <w:szCs w:val="24"/>
        </w:rPr>
        <w:footnoteReference w:id="91"/>
      </w:r>
      <w:r w:rsidR="00507DE3">
        <w:rPr>
          <w:rFonts w:ascii="Times New Roman" w:hAnsi="Times New Roman" w:cs="Times New Roman"/>
          <w:sz w:val="24"/>
          <w:szCs w:val="24"/>
        </w:rPr>
        <w:t xml:space="preserve"> </w:t>
      </w:r>
      <w:r w:rsidR="009B5527">
        <w:rPr>
          <w:rFonts w:ascii="Times New Roman" w:hAnsi="Times New Roman" w:cs="Times New Roman"/>
          <w:sz w:val="24"/>
          <w:szCs w:val="24"/>
        </w:rPr>
        <w:t>One could argue that the continued operation of the apparatus within PL-controlled Laos should count for something, but by this point, that is essentially government activity.</w:t>
      </w:r>
    </w:p>
    <w:p w14:paraId="7C90930C" w14:textId="77777777" w:rsidR="009B5527" w:rsidRDefault="009B5527">
      <w:pPr>
        <w:rPr>
          <w:rFonts w:ascii="Times New Roman" w:hAnsi="Times New Roman" w:cs="Times New Roman"/>
          <w:sz w:val="24"/>
          <w:szCs w:val="24"/>
        </w:rPr>
      </w:pPr>
      <w:r>
        <w:rPr>
          <w:rFonts w:ascii="Times New Roman" w:hAnsi="Times New Roman" w:cs="Times New Roman"/>
          <w:sz w:val="24"/>
          <w:szCs w:val="24"/>
        </w:rPr>
        <w:tab/>
      </w:r>
      <w:r w:rsidR="005232B2">
        <w:rPr>
          <w:rFonts w:ascii="Times New Roman" w:hAnsi="Times New Roman" w:cs="Times New Roman"/>
          <w:sz w:val="24"/>
          <w:szCs w:val="24"/>
        </w:rPr>
        <w:t xml:space="preserve">The same could be said for the installation of PL police in the </w:t>
      </w:r>
      <w:r w:rsidR="006919F6">
        <w:rPr>
          <w:rFonts w:ascii="Times New Roman" w:hAnsi="Times New Roman" w:cs="Times New Roman"/>
          <w:sz w:val="24"/>
          <w:szCs w:val="24"/>
        </w:rPr>
        <w:t xml:space="preserve">rightist capital of Vientiane. As a stipulation in the 1973 agreement, police and troops would be stationed there to prevent a repeat of the 1957’s imprisoning of Prince </w:t>
      </w:r>
      <w:proofErr w:type="spellStart"/>
      <w:r w:rsidR="006919F6" w:rsidRPr="00EE7B79">
        <w:rPr>
          <w:rFonts w:ascii="Times New Roman" w:hAnsi="Times New Roman" w:cs="Times New Roman"/>
          <w:sz w:val="24"/>
          <w:szCs w:val="24"/>
        </w:rPr>
        <w:t>Souphanouvon</w:t>
      </w:r>
      <w:proofErr w:type="spellEnd"/>
      <w:r w:rsidR="006919F6">
        <w:rPr>
          <w:rFonts w:ascii="Times New Roman" w:hAnsi="Times New Roman" w:cs="Times New Roman"/>
          <w:sz w:val="24"/>
          <w:szCs w:val="24"/>
        </w:rPr>
        <w:t xml:space="preserve"> during the first coalition or 1962’s bout of traded assassinations.</w:t>
      </w:r>
      <w:r w:rsidR="006919F6">
        <w:rPr>
          <w:rStyle w:val="FootnoteReference"/>
          <w:rFonts w:ascii="Times New Roman" w:hAnsi="Times New Roman" w:cs="Times New Roman"/>
          <w:sz w:val="24"/>
          <w:szCs w:val="24"/>
        </w:rPr>
        <w:footnoteReference w:id="92"/>
      </w:r>
      <w:r w:rsidR="006919F6">
        <w:rPr>
          <w:rFonts w:ascii="Times New Roman" w:hAnsi="Times New Roman" w:cs="Times New Roman"/>
          <w:sz w:val="24"/>
          <w:szCs w:val="24"/>
        </w:rPr>
        <w:t xml:space="preserve"> The most that can be said is that the application of people’s courts before the war ended</w:t>
      </w:r>
      <w:r w:rsidR="00E044C4">
        <w:rPr>
          <w:rFonts w:ascii="Times New Roman" w:hAnsi="Times New Roman" w:cs="Times New Roman"/>
          <w:sz w:val="24"/>
          <w:szCs w:val="24"/>
        </w:rPr>
        <w:t>—even the takeover of policing duties by PL officers could be seen as an extension of extant official capacity.</w:t>
      </w:r>
      <w:r w:rsidR="006919F6">
        <w:rPr>
          <w:rFonts w:ascii="Times New Roman" w:hAnsi="Times New Roman" w:cs="Times New Roman"/>
          <w:sz w:val="24"/>
          <w:szCs w:val="24"/>
        </w:rPr>
        <w:t xml:space="preserve"> </w:t>
      </w:r>
      <w:r w:rsidR="00E044C4">
        <w:rPr>
          <w:rFonts w:ascii="Times New Roman" w:hAnsi="Times New Roman" w:cs="Times New Roman"/>
          <w:sz w:val="24"/>
          <w:szCs w:val="24"/>
        </w:rPr>
        <w:t>The people’s</w:t>
      </w:r>
      <w:r w:rsidR="006919F6">
        <w:rPr>
          <w:rFonts w:ascii="Times New Roman" w:hAnsi="Times New Roman" w:cs="Times New Roman"/>
          <w:sz w:val="24"/>
          <w:szCs w:val="24"/>
        </w:rPr>
        <w:t xml:space="preserve"> courts</w:t>
      </w:r>
      <w:r w:rsidR="00E044C4">
        <w:rPr>
          <w:rFonts w:ascii="Times New Roman" w:hAnsi="Times New Roman" w:cs="Times New Roman"/>
          <w:sz w:val="24"/>
          <w:szCs w:val="24"/>
        </w:rPr>
        <w:t xml:space="preserve"> allowed the</w:t>
      </w:r>
      <w:r w:rsidR="006919F6">
        <w:rPr>
          <w:rFonts w:ascii="Times New Roman" w:hAnsi="Times New Roman" w:cs="Times New Roman"/>
          <w:sz w:val="24"/>
          <w:szCs w:val="24"/>
        </w:rPr>
        <w:t xml:space="preserve"> PL to liquidate </w:t>
      </w:r>
      <w:r w:rsidR="00E044C4">
        <w:rPr>
          <w:rFonts w:ascii="Times New Roman" w:hAnsi="Times New Roman" w:cs="Times New Roman"/>
          <w:sz w:val="24"/>
          <w:szCs w:val="24"/>
        </w:rPr>
        <w:t xml:space="preserve">officials they deemed corrupt and consolidate their control over the Laotian </w:t>
      </w:r>
      <w:proofErr w:type="spellStart"/>
      <w:r w:rsidR="00E044C4">
        <w:rPr>
          <w:rFonts w:ascii="Times New Roman" w:hAnsi="Times New Roman" w:cs="Times New Roman"/>
          <w:sz w:val="24"/>
          <w:szCs w:val="24"/>
        </w:rPr>
        <w:t>buraeucracy</w:t>
      </w:r>
      <w:proofErr w:type="spellEnd"/>
      <w:r w:rsidR="006919F6">
        <w:rPr>
          <w:rFonts w:ascii="Times New Roman" w:hAnsi="Times New Roman" w:cs="Times New Roman"/>
          <w:sz w:val="24"/>
          <w:szCs w:val="24"/>
        </w:rPr>
        <w:t>.</w:t>
      </w:r>
      <w:r w:rsidR="006919F6">
        <w:rPr>
          <w:rStyle w:val="FootnoteReference"/>
          <w:rFonts w:ascii="Times New Roman" w:hAnsi="Times New Roman" w:cs="Times New Roman"/>
          <w:sz w:val="24"/>
          <w:szCs w:val="24"/>
        </w:rPr>
        <w:footnoteReference w:id="93"/>
      </w:r>
    </w:p>
    <w:p w14:paraId="516635BC" w14:textId="77777777" w:rsidR="009F57DF" w:rsidRDefault="009F57DF">
      <w:pPr>
        <w:rPr>
          <w:rFonts w:ascii="Times New Roman" w:hAnsi="Times New Roman" w:cs="Times New Roman"/>
          <w:b/>
          <w:sz w:val="24"/>
          <w:szCs w:val="24"/>
        </w:rPr>
      </w:pPr>
      <w:r>
        <w:rPr>
          <w:rFonts w:ascii="Times New Roman" w:hAnsi="Times New Roman" w:cs="Times New Roman"/>
          <w:b/>
          <w:sz w:val="24"/>
          <w:szCs w:val="24"/>
        </w:rPr>
        <w:t>Nicaragua (1978-1979)</w:t>
      </w:r>
    </w:p>
    <w:p w14:paraId="5928493C"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lastRenderedPageBreak/>
        <w:t xml:space="preserve">Rebels / Incumbents: </w:t>
      </w:r>
      <w:r w:rsidR="00DE0DAF">
        <w:rPr>
          <w:rFonts w:ascii="Times New Roman" w:hAnsi="Times New Roman" w:cs="Times New Roman"/>
          <w:sz w:val="24"/>
          <w:szCs w:val="24"/>
        </w:rPr>
        <w:t>Sandinista National Liberation Front (FSLN), Broad Opposition Front (FAO)</w:t>
      </w:r>
      <w:r w:rsidR="00C46CC0">
        <w:rPr>
          <w:rFonts w:ascii="Times New Roman" w:hAnsi="Times New Roman" w:cs="Times New Roman"/>
          <w:sz w:val="24"/>
          <w:szCs w:val="24"/>
        </w:rPr>
        <w:t xml:space="preserve">, </w:t>
      </w:r>
      <w:proofErr w:type="gramStart"/>
      <w:r w:rsidR="00C46CC0">
        <w:rPr>
          <w:rFonts w:ascii="Times New Roman" w:hAnsi="Times New Roman" w:cs="Times New Roman"/>
          <w:sz w:val="24"/>
          <w:szCs w:val="24"/>
        </w:rPr>
        <w:t>other</w:t>
      </w:r>
      <w:proofErr w:type="gramEnd"/>
      <w:r w:rsidR="00C46CC0">
        <w:rPr>
          <w:rFonts w:ascii="Times New Roman" w:hAnsi="Times New Roman" w:cs="Times New Roman"/>
          <w:sz w:val="24"/>
          <w:szCs w:val="24"/>
        </w:rPr>
        <w:t xml:space="preserve"> assorted anti-Somoza groups</w:t>
      </w:r>
      <w:r w:rsidR="00DE0DAF">
        <w:rPr>
          <w:rFonts w:ascii="Times New Roman" w:hAnsi="Times New Roman" w:cs="Times New Roman"/>
          <w:sz w:val="24"/>
          <w:szCs w:val="24"/>
        </w:rPr>
        <w:t xml:space="preserve"> / Republic of Nicaragua</w:t>
      </w:r>
    </w:p>
    <w:p w14:paraId="798E57C3" w14:textId="77777777"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DE0DAF">
        <w:rPr>
          <w:rFonts w:ascii="Times New Roman" w:hAnsi="Times New Roman" w:cs="Times New Roman"/>
          <w:b/>
          <w:sz w:val="24"/>
          <w:szCs w:val="24"/>
        </w:rPr>
        <w:t>0</w:t>
      </w:r>
      <w:r w:rsidRPr="00F62BA4">
        <w:rPr>
          <w:rFonts w:ascii="Times New Roman" w:hAnsi="Times New Roman" w:cs="Times New Roman"/>
          <w:b/>
          <w:sz w:val="24"/>
          <w:szCs w:val="24"/>
        </w:rPr>
        <w:t xml:space="preserve">; Public Goods: </w:t>
      </w:r>
      <w:r w:rsidR="00DE0DAF">
        <w:rPr>
          <w:rFonts w:ascii="Times New Roman" w:hAnsi="Times New Roman" w:cs="Times New Roman"/>
          <w:b/>
          <w:sz w:val="24"/>
          <w:szCs w:val="24"/>
        </w:rPr>
        <w:t>1</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DE0DAF">
        <w:rPr>
          <w:rFonts w:ascii="Times New Roman" w:hAnsi="Times New Roman" w:cs="Times New Roman"/>
          <w:b/>
          <w:sz w:val="24"/>
          <w:szCs w:val="24"/>
        </w:rPr>
        <w:t xml:space="preserve"> </w:t>
      </w:r>
      <w:r w:rsidR="0071193F">
        <w:rPr>
          <w:rFonts w:ascii="Times New Roman" w:hAnsi="Times New Roman" w:cs="Times New Roman"/>
          <w:b/>
          <w:sz w:val="24"/>
          <w:szCs w:val="24"/>
        </w:rPr>
        <w:t>1</w:t>
      </w:r>
    </w:p>
    <w:p w14:paraId="64C9D34A" w14:textId="77777777" w:rsidR="009F57DF" w:rsidRDefault="00DE0DAF">
      <w:pPr>
        <w:rPr>
          <w:rFonts w:ascii="Times New Roman" w:hAnsi="Times New Roman" w:cs="Times New Roman"/>
          <w:sz w:val="24"/>
          <w:szCs w:val="24"/>
        </w:rPr>
      </w:pPr>
      <w:r>
        <w:rPr>
          <w:rFonts w:ascii="Times New Roman" w:hAnsi="Times New Roman" w:cs="Times New Roman"/>
          <w:sz w:val="24"/>
          <w:szCs w:val="24"/>
        </w:rPr>
        <w:tab/>
        <w:t xml:space="preserve">Nicaragua’s brief civil war led to the toppling of the Somoza dictatorship and the installation of a government dominated by the Sandinistas. </w:t>
      </w:r>
      <w:r w:rsidR="00C46CC0">
        <w:rPr>
          <w:rFonts w:ascii="Times New Roman" w:hAnsi="Times New Roman" w:cs="Times New Roman"/>
          <w:sz w:val="24"/>
          <w:szCs w:val="24"/>
        </w:rPr>
        <w:t>The rebels themselves belonged to one of three groups, advocates of prolonged political opposition (Proletarians), advocates of a Mao-style People’s War (GPP), and advocates of military action, and advocates of constructing a broad alliance of anti-Somoza groups and waging a military campaign against the regime.</w:t>
      </w:r>
      <w:r w:rsidR="00C46CC0">
        <w:rPr>
          <w:rStyle w:val="FootnoteReference"/>
          <w:rFonts w:ascii="Times New Roman" w:hAnsi="Times New Roman" w:cs="Times New Roman"/>
          <w:sz w:val="24"/>
          <w:szCs w:val="24"/>
        </w:rPr>
        <w:footnoteReference w:id="94"/>
      </w:r>
      <w:r w:rsidR="00C46CC0">
        <w:rPr>
          <w:rFonts w:ascii="Times New Roman" w:hAnsi="Times New Roman" w:cs="Times New Roman"/>
          <w:sz w:val="24"/>
          <w:szCs w:val="24"/>
        </w:rPr>
        <w:t xml:space="preserve"> The latter ultimately prevailed, attracting support from an alliance of liberal groups called the FAO with the promise of postwar democratization.</w:t>
      </w:r>
      <w:r w:rsidR="00C46CC0">
        <w:rPr>
          <w:rStyle w:val="FootnoteReference"/>
          <w:rFonts w:ascii="Times New Roman" w:hAnsi="Times New Roman" w:cs="Times New Roman"/>
          <w:sz w:val="24"/>
          <w:szCs w:val="24"/>
        </w:rPr>
        <w:footnoteReference w:id="95"/>
      </w:r>
      <w:r w:rsidR="00C46CC0">
        <w:rPr>
          <w:rFonts w:ascii="Times New Roman" w:hAnsi="Times New Roman" w:cs="Times New Roman"/>
          <w:sz w:val="24"/>
          <w:szCs w:val="24"/>
        </w:rPr>
        <w:t xml:space="preserve"> </w:t>
      </w:r>
    </w:p>
    <w:p w14:paraId="2DBBBD0A" w14:textId="77777777" w:rsidR="00DE0DAF" w:rsidRDefault="00DE0DAF">
      <w:pPr>
        <w:rPr>
          <w:rFonts w:ascii="Times New Roman" w:hAnsi="Times New Roman" w:cs="Times New Roman"/>
          <w:sz w:val="24"/>
          <w:szCs w:val="24"/>
        </w:rPr>
      </w:pPr>
      <w:r>
        <w:rPr>
          <w:rFonts w:ascii="Times New Roman" w:hAnsi="Times New Roman" w:cs="Times New Roman"/>
          <w:sz w:val="24"/>
          <w:szCs w:val="24"/>
        </w:rPr>
        <w:tab/>
      </w:r>
      <w:r w:rsidR="00C46CC0">
        <w:rPr>
          <w:rFonts w:ascii="Times New Roman" w:hAnsi="Times New Roman" w:cs="Times New Roman"/>
          <w:sz w:val="24"/>
          <w:szCs w:val="24"/>
        </w:rPr>
        <w:t>This promise was not that Nicaragua would become a liberal democracy</w:t>
      </w:r>
      <w:r w:rsidR="008F6CA4">
        <w:rPr>
          <w:rStyle w:val="FootnoteReference"/>
          <w:rFonts w:ascii="Times New Roman" w:hAnsi="Times New Roman" w:cs="Times New Roman"/>
          <w:sz w:val="24"/>
          <w:szCs w:val="24"/>
        </w:rPr>
        <w:footnoteReference w:id="96"/>
      </w:r>
      <w:r>
        <w:rPr>
          <w:rFonts w:ascii="Times New Roman" w:hAnsi="Times New Roman" w:cs="Times New Roman"/>
          <w:sz w:val="24"/>
          <w:szCs w:val="24"/>
        </w:rPr>
        <w:t xml:space="preserve"> (</w:t>
      </w:r>
      <w:r w:rsidR="00C46CC0">
        <w:rPr>
          <w:rFonts w:ascii="Times New Roman" w:hAnsi="Times New Roman" w:cs="Times New Roman"/>
          <w:sz w:val="24"/>
          <w:szCs w:val="24"/>
        </w:rPr>
        <w:t>and some in the movement chafed at the notion that any sort of democratization was in the works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7"/>
      </w:r>
      <w:r w:rsidR="008F6CA4">
        <w:rPr>
          <w:rFonts w:ascii="Times New Roman" w:hAnsi="Times New Roman" w:cs="Times New Roman"/>
          <w:sz w:val="24"/>
          <w:szCs w:val="24"/>
        </w:rPr>
        <w:t xml:space="preserve"> </w:t>
      </w:r>
      <w:r w:rsidR="001854EB">
        <w:rPr>
          <w:rFonts w:ascii="Times New Roman" w:hAnsi="Times New Roman" w:cs="Times New Roman"/>
          <w:sz w:val="24"/>
          <w:szCs w:val="24"/>
        </w:rPr>
        <w:t xml:space="preserve">The new regime would encourage popular participation, but only in support of the new regime’s immediate goals. </w:t>
      </w:r>
      <w:r w:rsidR="008F6CA4">
        <w:rPr>
          <w:rFonts w:ascii="Times New Roman" w:hAnsi="Times New Roman" w:cs="Times New Roman"/>
          <w:sz w:val="24"/>
          <w:szCs w:val="24"/>
        </w:rPr>
        <w:t>One could argue that the mode of rebel governance adopted by the Sandinistas reflects this. Participation in the revolution was encouraged, but anything not directly related thereto took a back seat. They had set up</w:t>
      </w:r>
      <w:r w:rsidR="00B1624E">
        <w:rPr>
          <w:rFonts w:ascii="Times New Roman" w:hAnsi="Times New Roman" w:cs="Times New Roman"/>
          <w:sz w:val="24"/>
          <w:szCs w:val="24"/>
        </w:rPr>
        <w:t xml:space="preserve"> nominally independent</w:t>
      </w:r>
      <w:r w:rsidR="002364E2">
        <w:rPr>
          <w:rFonts w:ascii="Times New Roman" w:hAnsi="Times New Roman" w:cs="Times New Roman"/>
          <w:sz w:val="24"/>
          <w:szCs w:val="24"/>
        </w:rPr>
        <w:t xml:space="preserve"> </w:t>
      </w:r>
      <w:r w:rsidR="00B1624E">
        <w:rPr>
          <w:rFonts w:ascii="Times New Roman" w:hAnsi="Times New Roman" w:cs="Times New Roman"/>
          <w:sz w:val="24"/>
          <w:szCs w:val="24"/>
        </w:rPr>
        <w:t>Civil Defense Committees</w:t>
      </w:r>
      <w:r w:rsidR="00A77655">
        <w:rPr>
          <w:rFonts w:ascii="Times New Roman" w:hAnsi="Times New Roman" w:cs="Times New Roman"/>
          <w:sz w:val="24"/>
          <w:szCs w:val="24"/>
        </w:rPr>
        <w:t xml:space="preserve"> (CDC)</w:t>
      </w:r>
      <w:r w:rsidR="00B1624E">
        <w:rPr>
          <w:rFonts w:ascii="Times New Roman" w:hAnsi="Times New Roman" w:cs="Times New Roman"/>
          <w:sz w:val="24"/>
          <w:szCs w:val="24"/>
        </w:rPr>
        <w:t xml:space="preserve"> for this purpose.</w:t>
      </w:r>
      <w:r w:rsidR="002364E2">
        <w:rPr>
          <w:rStyle w:val="FootnoteReference"/>
          <w:rFonts w:ascii="Times New Roman" w:hAnsi="Times New Roman" w:cs="Times New Roman"/>
          <w:sz w:val="24"/>
          <w:szCs w:val="24"/>
        </w:rPr>
        <w:footnoteReference w:id="98"/>
      </w:r>
      <w:r w:rsidR="00B1624E">
        <w:rPr>
          <w:rFonts w:ascii="Times New Roman" w:hAnsi="Times New Roman" w:cs="Times New Roman"/>
          <w:sz w:val="24"/>
          <w:szCs w:val="24"/>
        </w:rPr>
        <w:t xml:space="preserve"> Their independence might have spurred the development of governance, but this did not take place, perhaps due to the war’s brevity.</w:t>
      </w:r>
    </w:p>
    <w:p w14:paraId="164FE57A" w14:textId="77777777" w:rsidR="00A77655" w:rsidRDefault="00A77655">
      <w:pPr>
        <w:rPr>
          <w:rFonts w:ascii="Times New Roman" w:hAnsi="Times New Roman" w:cs="Times New Roman"/>
          <w:sz w:val="24"/>
          <w:szCs w:val="24"/>
        </w:rPr>
      </w:pPr>
      <w:r>
        <w:rPr>
          <w:rFonts w:ascii="Times New Roman" w:hAnsi="Times New Roman" w:cs="Times New Roman"/>
          <w:sz w:val="24"/>
          <w:szCs w:val="24"/>
        </w:rPr>
        <w:tab/>
        <w:t>The CDCs did on occasion provide healthcare—a scarce resource given the damage done to existing facilities. Doctors were recruited to teach emergency surgery techniques and provide what care and materials they could.</w:t>
      </w:r>
      <w:r>
        <w:rPr>
          <w:rStyle w:val="FootnoteReference"/>
          <w:rFonts w:ascii="Times New Roman" w:hAnsi="Times New Roman" w:cs="Times New Roman"/>
          <w:sz w:val="24"/>
          <w:szCs w:val="24"/>
        </w:rPr>
        <w:footnoteReference w:id="99"/>
      </w:r>
      <w:r>
        <w:rPr>
          <w:rFonts w:ascii="Times New Roman" w:hAnsi="Times New Roman" w:cs="Times New Roman"/>
          <w:sz w:val="24"/>
          <w:szCs w:val="24"/>
        </w:rPr>
        <w:t xml:space="preserve"> </w:t>
      </w:r>
      <w:r w:rsidR="00584BA7">
        <w:rPr>
          <w:rFonts w:ascii="Times New Roman" w:hAnsi="Times New Roman" w:cs="Times New Roman"/>
          <w:sz w:val="24"/>
          <w:szCs w:val="24"/>
        </w:rPr>
        <w:t>While providing healthcare (and food, on occasion) is noteworthy, this is the extent of the CDCs governance functions</w:t>
      </w:r>
      <w:r>
        <w:rPr>
          <w:rFonts w:ascii="Times New Roman" w:hAnsi="Times New Roman" w:cs="Times New Roman"/>
          <w:sz w:val="24"/>
          <w:szCs w:val="24"/>
        </w:rPr>
        <w:t>.</w:t>
      </w:r>
      <w:r w:rsidR="00584BA7">
        <w:rPr>
          <w:rStyle w:val="FootnoteReference"/>
          <w:rFonts w:ascii="Times New Roman" w:hAnsi="Times New Roman" w:cs="Times New Roman"/>
          <w:sz w:val="24"/>
          <w:szCs w:val="24"/>
        </w:rPr>
        <w:footnoteReference w:id="100"/>
      </w:r>
      <w:r w:rsidR="00584BA7">
        <w:rPr>
          <w:rFonts w:ascii="Times New Roman" w:hAnsi="Times New Roman" w:cs="Times New Roman"/>
          <w:sz w:val="24"/>
          <w:szCs w:val="24"/>
        </w:rPr>
        <w:t xml:space="preserve"> One could argue that the CDCs’ patrols could provide something like policing, but the immediate postwar policing struggles</w:t>
      </w:r>
      <w:r w:rsidR="00664693">
        <w:rPr>
          <w:rFonts w:ascii="Times New Roman" w:hAnsi="Times New Roman" w:cs="Times New Roman"/>
          <w:sz w:val="24"/>
          <w:szCs w:val="24"/>
        </w:rPr>
        <w:t xml:space="preserve"> and the apparent lack of experienced officers domestically</w:t>
      </w:r>
      <w:r w:rsidR="00584BA7">
        <w:rPr>
          <w:rStyle w:val="FootnoteReference"/>
          <w:rFonts w:ascii="Times New Roman" w:hAnsi="Times New Roman" w:cs="Times New Roman"/>
          <w:sz w:val="24"/>
          <w:szCs w:val="24"/>
        </w:rPr>
        <w:footnoteReference w:id="101"/>
      </w:r>
      <w:r w:rsidR="00584BA7">
        <w:rPr>
          <w:rFonts w:ascii="Times New Roman" w:hAnsi="Times New Roman" w:cs="Times New Roman"/>
          <w:sz w:val="24"/>
          <w:szCs w:val="24"/>
        </w:rPr>
        <w:t xml:space="preserve"> suggest this was not the case. </w:t>
      </w:r>
    </w:p>
    <w:p w14:paraId="12233FAE" w14:textId="77777777" w:rsidR="00B1624E" w:rsidRDefault="00A77655">
      <w:pPr>
        <w:rPr>
          <w:rFonts w:ascii="Times New Roman" w:hAnsi="Times New Roman" w:cs="Times New Roman"/>
          <w:sz w:val="24"/>
          <w:szCs w:val="24"/>
        </w:rPr>
      </w:pPr>
      <w:r>
        <w:rPr>
          <w:rFonts w:ascii="Times New Roman" w:hAnsi="Times New Roman" w:cs="Times New Roman"/>
          <w:sz w:val="24"/>
          <w:szCs w:val="24"/>
        </w:rPr>
        <w:tab/>
        <w:t xml:space="preserve">Interestingly, they were repurposed </w:t>
      </w:r>
      <w:r w:rsidR="00584BA7">
        <w:rPr>
          <w:rFonts w:ascii="Times New Roman" w:hAnsi="Times New Roman" w:cs="Times New Roman"/>
          <w:sz w:val="24"/>
          <w:szCs w:val="24"/>
        </w:rPr>
        <w:t xml:space="preserve">as Sandinista Defense Committees (CDS) after the war’s end. Without the war to concern themselves with, they became the sort of cites of local </w:t>
      </w:r>
      <w:r w:rsidR="00584BA7">
        <w:rPr>
          <w:rFonts w:ascii="Times New Roman" w:hAnsi="Times New Roman" w:cs="Times New Roman"/>
          <w:sz w:val="24"/>
          <w:szCs w:val="24"/>
        </w:rPr>
        <w:lastRenderedPageBreak/>
        <w:t>participation, policymaking,</w:t>
      </w:r>
      <w:r w:rsidR="00664693">
        <w:rPr>
          <w:rStyle w:val="FootnoteReference"/>
          <w:rFonts w:ascii="Times New Roman" w:hAnsi="Times New Roman" w:cs="Times New Roman"/>
          <w:sz w:val="24"/>
          <w:szCs w:val="24"/>
        </w:rPr>
        <w:footnoteReference w:id="102"/>
      </w:r>
      <w:r w:rsidR="00584BA7">
        <w:rPr>
          <w:rFonts w:ascii="Times New Roman" w:hAnsi="Times New Roman" w:cs="Times New Roman"/>
          <w:sz w:val="24"/>
          <w:szCs w:val="24"/>
        </w:rPr>
        <w:t xml:space="preserve"> and public good provision one associates with rebel governance.</w:t>
      </w:r>
      <w:r w:rsidR="00584BA7">
        <w:rPr>
          <w:rStyle w:val="FootnoteReference"/>
          <w:rFonts w:ascii="Times New Roman" w:hAnsi="Times New Roman" w:cs="Times New Roman"/>
          <w:sz w:val="24"/>
          <w:szCs w:val="24"/>
        </w:rPr>
        <w:footnoteReference w:id="103"/>
      </w:r>
      <w:r w:rsidR="00584BA7">
        <w:rPr>
          <w:rFonts w:ascii="Times New Roman" w:hAnsi="Times New Roman" w:cs="Times New Roman"/>
          <w:sz w:val="24"/>
          <w:szCs w:val="24"/>
        </w:rPr>
        <w:t xml:space="preserve">  Also, o</w:t>
      </w:r>
      <w:r w:rsidR="00B1624E">
        <w:rPr>
          <w:rFonts w:ascii="Times New Roman" w:hAnsi="Times New Roman" w:cs="Times New Roman"/>
          <w:sz w:val="24"/>
          <w:szCs w:val="24"/>
        </w:rPr>
        <w:t>ne could argue that their experience might represent a means of circumventing the need for governance as a prerequisite for cultivating consciousness. After all, contributing to a revolution involves both contestation and participation.</w:t>
      </w:r>
      <w:r w:rsidR="00B1624E">
        <w:rPr>
          <w:rStyle w:val="FootnoteReference"/>
          <w:rFonts w:ascii="Times New Roman" w:hAnsi="Times New Roman" w:cs="Times New Roman"/>
          <w:sz w:val="24"/>
          <w:szCs w:val="24"/>
        </w:rPr>
        <w:footnoteReference w:id="104"/>
      </w:r>
      <w:r w:rsidR="00B158A9">
        <w:rPr>
          <w:rFonts w:ascii="Times New Roman" w:hAnsi="Times New Roman" w:cs="Times New Roman"/>
          <w:sz w:val="24"/>
          <w:szCs w:val="24"/>
        </w:rPr>
        <w:t xml:space="preserve"> At the same time,</w:t>
      </w:r>
      <w:r w:rsidR="00B1624E">
        <w:rPr>
          <w:rFonts w:ascii="Times New Roman" w:hAnsi="Times New Roman" w:cs="Times New Roman"/>
          <w:sz w:val="24"/>
          <w:szCs w:val="24"/>
        </w:rPr>
        <w:t xml:space="preserve"> </w:t>
      </w:r>
      <w:r w:rsidR="00B158A9">
        <w:rPr>
          <w:rFonts w:ascii="Times New Roman" w:hAnsi="Times New Roman" w:cs="Times New Roman"/>
          <w:sz w:val="24"/>
          <w:szCs w:val="24"/>
        </w:rPr>
        <w:t>o</w:t>
      </w:r>
      <w:r w:rsidR="00B1624E">
        <w:rPr>
          <w:rFonts w:ascii="Times New Roman" w:hAnsi="Times New Roman" w:cs="Times New Roman"/>
          <w:sz w:val="24"/>
          <w:szCs w:val="24"/>
        </w:rPr>
        <w:t>ne could say the same for any conflict in which fighters are recruited locally. While this</w:t>
      </w:r>
      <w:r w:rsidR="00B158A9">
        <w:rPr>
          <w:rFonts w:ascii="Times New Roman" w:hAnsi="Times New Roman" w:cs="Times New Roman"/>
          <w:sz w:val="24"/>
          <w:szCs w:val="24"/>
        </w:rPr>
        <w:t xml:space="preserve"> is a phenomenon worth studying</w:t>
      </w:r>
      <w:r w:rsidR="00B158A9">
        <w:rPr>
          <w:rStyle w:val="FootnoteReference"/>
          <w:rFonts w:ascii="Times New Roman" w:hAnsi="Times New Roman" w:cs="Times New Roman"/>
          <w:sz w:val="24"/>
          <w:szCs w:val="24"/>
        </w:rPr>
        <w:footnoteReference w:id="105"/>
      </w:r>
      <w:r w:rsidR="00B158A9">
        <w:rPr>
          <w:rFonts w:ascii="Times New Roman" w:hAnsi="Times New Roman" w:cs="Times New Roman"/>
          <w:sz w:val="24"/>
          <w:szCs w:val="24"/>
        </w:rPr>
        <w:t xml:space="preserve"> (and may well contribute to democratization), it is not governance.</w:t>
      </w:r>
    </w:p>
    <w:p w14:paraId="6D4EBF30" w14:textId="77777777" w:rsidR="008E1B9C" w:rsidRPr="00DE0DAF" w:rsidRDefault="0071193F">
      <w:pPr>
        <w:rPr>
          <w:rFonts w:ascii="Times New Roman" w:hAnsi="Times New Roman" w:cs="Times New Roman"/>
          <w:sz w:val="24"/>
          <w:szCs w:val="24"/>
        </w:rPr>
      </w:pPr>
      <w:r>
        <w:rPr>
          <w:rFonts w:ascii="Times New Roman" w:hAnsi="Times New Roman" w:cs="Times New Roman"/>
          <w:sz w:val="24"/>
          <w:szCs w:val="24"/>
        </w:rPr>
        <w:tab/>
      </w:r>
      <w:r w:rsidR="00AE6F84">
        <w:rPr>
          <w:rFonts w:ascii="Times New Roman" w:hAnsi="Times New Roman" w:cs="Times New Roman"/>
          <w:sz w:val="24"/>
          <w:szCs w:val="24"/>
        </w:rPr>
        <w:t>What does count is the FSLN’s involvement in political organizing. Two noteworthy examples are the association of Rural Workers (ATC) and the Association of Women Confronting the National Problem (AMPRONAC). The latter served as an important source of recruits during the conflict. By the end of the conflict, rebels recruited in this manner were taking on positions of military leadership with some leading full battalions.</w:t>
      </w:r>
      <w:r w:rsidR="00AE6F84">
        <w:rPr>
          <w:rStyle w:val="FootnoteReference"/>
          <w:rFonts w:ascii="Times New Roman" w:hAnsi="Times New Roman" w:cs="Times New Roman"/>
          <w:sz w:val="24"/>
          <w:szCs w:val="24"/>
        </w:rPr>
        <w:footnoteReference w:id="106"/>
      </w:r>
      <w:r w:rsidR="008E1B9C">
        <w:rPr>
          <w:rFonts w:ascii="Times New Roman" w:hAnsi="Times New Roman" w:cs="Times New Roman"/>
          <w:sz w:val="24"/>
          <w:szCs w:val="24"/>
        </w:rPr>
        <w:t xml:space="preserve"> The </w:t>
      </w:r>
      <w:r w:rsidR="00294AC8">
        <w:rPr>
          <w:rFonts w:ascii="Times New Roman" w:hAnsi="Times New Roman" w:cs="Times New Roman"/>
          <w:sz w:val="24"/>
          <w:szCs w:val="24"/>
        </w:rPr>
        <w:t>former was holding internal elections, creating policy platforms, and serving as a major de facto proletarian organization during the conflict.</w:t>
      </w:r>
      <w:r w:rsidR="00294AC8">
        <w:rPr>
          <w:rStyle w:val="FootnoteReference"/>
          <w:rFonts w:ascii="Times New Roman" w:hAnsi="Times New Roman" w:cs="Times New Roman"/>
          <w:sz w:val="24"/>
          <w:szCs w:val="24"/>
        </w:rPr>
        <w:footnoteReference w:id="107"/>
      </w:r>
      <w:r w:rsidR="00294AC8">
        <w:rPr>
          <w:rFonts w:ascii="Times New Roman" w:hAnsi="Times New Roman" w:cs="Times New Roman"/>
          <w:sz w:val="24"/>
          <w:szCs w:val="24"/>
        </w:rPr>
        <w:t xml:space="preserve"> Technically, both organizations were independent. However, the FSLN was instrumental in encouraging both to join the revolution, transforming AMPRONAC from a forum to a militant organization.</w:t>
      </w:r>
      <w:r w:rsidR="00294AC8">
        <w:rPr>
          <w:rStyle w:val="FootnoteReference"/>
          <w:rFonts w:ascii="Times New Roman" w:hAnsi="Times New Roman" w:cs="Times New Roman"/>
          <w:sz w:val="24"/>
          <w:szCs w:val="24"/>
        </w:rPr>
        <w:footnoteReference w:id="108"/>
      </w:r>
      <w:r w:rsidR="00294AC8">
        <w:rPr>
          <w:rFonts w:ascii="Times New Roman" w:hAnsi="Times New Roman" w:cs="Times New Roman"/>
          <w:sz w:val="24"/>
          <w:szCs w:val="24"/>
        </w:rPr>
        <w:t xml:space="preserve"> The Sandinistas’ role in the ATC was similar—it began as a means of airing grievances against landowners and became a vehicle for political organizing and making demands regarding conditions. After the war’s end, the ATC was one of the few means by which political activity beyond supporting the Sandinista government was possible.</w:t>
      </w:r>
      <w:r w:rsidR="00294AC8">
        <w:rPr>
          <w:rStyle w:val="FootnoteReference"/>
          <w:rFonts w:ascii="Times New Roman" w:hAnsi="Times New Roman" w:cs="Times New Roman"/>
          <w:sz w:val="24"/>
          <w:szCs w:val="24"/>
        </w:rPr>
        <w:footnoteReference w:id="109"/>
      </w:r>
    </w:p>
    <w:p w14:paraId="0109917F" w14:textId="77777777" w:rsidR="009F57DF" w:rsidRDefault="009F57DF">
      <w:pPr>
        <w:rPr>
          <w:rFonts w:ascii="Times New Roman" w:hAnsi="Times New Roman" w:cs="Times New Roman"/>
          <w:b/>
          <w:sz w:val="24"/>
          <w:szCs w:val="24"/>
        </w:rPr>
      </w:pPr>
      <w:r>
        <w:rPr>
          <w:rFonts w:ascii="Times New Roman" w:hAnsi="Times New Roman" w:cs="Times New Roman"/>
          <w:b/>
          <w:sz w:val="24"/>
          <w:szCs w:val="24"/>
        </w:rPr>
        <w:t>Nigeria (1967-1970)</w:t>
      </w:r>
    </w:p>
    <w:p w14:paraId="671F6EC1"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t xml:space="preserve">Rebels / Incumbents: </w:t>
      </w:r>
      <w:r w:rsidR="00624A72">
        <w:rPr>
          <w:rFonts w:ascii="Times New Roman" w:hAnsi="Times New Roman" w:cs="Times New Roman"/>
          <w:sz w:val="24"/>
          <w:szCs w:val="24"/>
        </w:rPr>
        <w:t>Republic of Biafra / Nigeria</w:t>
      </w:r>
    </w:p>
    <w:p w14:paraId="3BE8D61B" w14:textId="7558AADC"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1A2614">
        <w:rPr>
          <w:rFonts w:ascii="Times New Roman" w:hAnsi="Times New Roman" w:cs="Times New Roman"/>
          <w:b/>
          <w:sz w:val="24"/>
          <w:szCs w:val="24"/>
        </w:rPr>
        <w:t>2</w:t>
      </w:r>
      <w:r w:rsidRPr="00F62BA4">
        <w:rPr>
          <w:rFonts w:ascii="Times New Roman" w:hAnsi="Times New Roman" w:cs="Times New Roman"/>
          <w:b/>
          <w:sz w:val="24"/>
          <w:szCs w:val="24"/>
        </w:rPr>
        <w:t xml:space="preserve">; Public Goods: </w:t>
      </w:r>
      <w:r w:rsidR="001A2614">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1A2614">
        <w:rPr>
          <w:rFonts w:ascii="Times New Roman" w:hAnsi="Times New Roman" w:cs="Times New Roman"/>
          <w:b/>
          <w:sz w:val="24"/>
          <w:szCs w:val="24"/>
        </w:rPr>
        <w:t xml:space="preserve"> </w:t>
      </w:r>
      <w:r w:rsidR="00FC5983">
        <w:rPr>
          <w:rFonts w:ascii="Times New Roman" w:hAnsi="Times New Roman" w:cs="Times New Roman"/>
          <w:b/>
          <w:sz w:val="24"/>
          <w:szCs w:val="24"/>
        </w:rPr>
        <w:t>0</w:t>
      </w:r>
    </w:p>
    <w:p w14:paraId="6E6A8FA4" w14:textId="77777777" w:rsidR="009F57DF" w:rsidRPr="00A34330" w:rsidRDefault="00A34330">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After a military </w:t>
      </w:r>
      <w:r w:rsidR="005D1361">
        <w:rPr>
          <w:rFonts w:ascii="Times New Roman" w:hAnsi="Times New Roman" w:cs="Times New Roman"/>
          <w:sz w:val="24"/>
          <w:szCs w:val="24"/>
        </w:rPr>
        <w:t xml:space="preserve">coup led by ethnic Igbo officers toppled Nigeria’s democracy in 1966, a counter-coup and pogroms against Igbos in the country’s northern regions led to civil war when Biafra declared its independence. Biafra was defeated in 1970 and the would-be country was reabsorbed into Nigeria, but in the meantime more than 2 million Igbo perished from starvation </w:t>
      </w:r>
      <w:r w:rsidR="005D1361">
        <w:rPr>
          <w:rFonts w:ascii="Times New Roman" w:hAnsi="Times New Roman" w:cs="Times New Roman"/>
          <w:sz w:val="24"/>
          <w:szCs w:val="24"/>
        </w:rPr>
        <w:lastRenderedPageBreak/>
        <w:t>due to Nigeria’s blockade of the breakaway region. Whether this constituted a genocide remains a point of contention—on one hand Igbo were not targeted as much elsewhere, but on the other hand the Nigerian government’s blockade caused 15% of Biafra’s population to starve.</w:t>
      </w:r>
      <w:r w:rsidR="005D1361">
        <w:rPr>
          <w:rStyle w:val="FootnoteReference"/>
          <w:rFonts w:ascii="Times New Roman" w:hAnsi="Times New Roman" w:cs="Times New Roman"/>
          <w:sz w:val="24"/>
          <w:szCs w:val="24"/>
        </w:rPr>
        <w:footnoteReference w:id="110"/>
      </w:r>
    </w:p>
    <w:p w14:paraId="09156B83" w14:textId="77777777" w:rsidR="00A34330" w:rsidRDefault="00B63568">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war itself is something of an oddity in a post-WWII world. Although the Biafran army was disorganized and many of its fighters were</w:t>
      </w:r>
      <w:r w:rsidR="001A2614">
        <w:rPr>
          <w:rFonts w:ascii="Times New Roman" w:hAnsi="Times New Roman" w:cs="Times New Roman"/>
          <w:sz w:val="24"/>
          <w:szCs w:val="24"/>
        </w:rPr>
        <w:t xml:space="preserve"> inexperienced or generally</w:t>
      </w:r>
      <w:r>
        <w:rPr>
          <w:rFonts w:ascii="Times New Roman" w:hAnsi="Times New Roman" w:cs="Times New Roman"/>
          <w:sz w:val="24"/>
          <w:szCs w:val="24"/>
        </w:rPr>
        <w:t xml:space="preserve"> unprepared for a “European” style conflict,</w:t>
      </w:r>
      <w:r>
        <w:rPr>
          <w:rStyle w:val="FootnoteReference"/>
          <w:rFonts w:ascii="Times New Roman" w:hAnsi="Times New Roman" w:cs="Times New Roman"/>
          <w:sz w:val="24"/>
          <w:szCs w:val="24"/>
        </w:rPr>
        <w:footnoteReference w:id="111"/>
      </w:r>
      <w:r w:rsidR="001A2614">
        <w:rPr>
          <w:rFonts w:ascii="Times New Roman" w:hAnsi="Times New Roman" w:cs="Times New Roman"/>
          <w:sz w:val="24"/>
          <w:szCs w:val="24"/>
        </w:rPr>
        <w:t xml:space="preserve"> they constituted the bulk of Biafra’s combat capabilities. For the most part, guerilla fighters were quite rare. Even civil defense units wore uniforms until late in the conflict.</w:t>
      </w:r>
      <w:r w:rsidR="001A2614">
        <w:rPr>
          <w:rStyle w:val="FootnoteReference"/>
          <w:rFonts w:ascii="Times New Roman" w:hAnsi="Times New Roman" w:cs="Times New Roman"/>
          <w:sz w:val="24"/>
          <w:szCs w:val="24"/>
        </w:rPr>
        <w:footnoteReference w:id="112"/>
      </w:r>
      <w:r w:rsidR="00E84283">
        <w:rPr>
          <w:rFonts w:ascii="Times New Roman" w:hAnsi="Times New Roman" w:cs="Times New Roman"/>
          <w:sz w:val="24"/>
          <w:szCs w:val="24"/>
        </w:rPr>
        <w:t xml:space="preserve"> This bears witness to the fact that although it was short-lived, Biafra was an independent state that had a robust administrative apparatus. Much of it was inherited and it responded poorly to the pressures of war, but it existed nonetheless.</w:t>
      </w:r>
    </w:p>
    <w:p w14:paraId="15CA277B" w14:textId="52B63684" w:rsidR="00515D50" w:rsidRDefault="00E84283">
      <w:pPr>
        <w:rPr>
          <w:rFonts w:ascii="Times New Roman" w:hAnsi="Times New Roman" w:cs="Times New Roman"/>
          <w:sz w:val="24"/>
          <w:szCs w:val="24"/>
        </w:rPr>
      </w:pPr>
      <w:r>
        <w:rPr>
          <w:rFonts w:ascii="Times New Roman" w:hAnsi="Times New Roman" w:cs="Times New Roman"/>
          <w:sz w:val="24"/>
          <w:szCs w:val="24"/>
        </w:rPr>
        <w:tab/>
      </w:r>
      <w:r w:rsidR="005E236A">
        <w:rPr>
          <w:rFonts w:ascii="Times New Roman" w:hAnsi="Times New Roman" w:cs="Times New Roman"/>
          <w:sz w:val="24"/>
          <w:szCs w:val="24"/>
        </w:rPr>
        <w:t>The most successful element of this apparatus was the police force and judiciary, which continued to function until the state itself crumbled towards the war’s conclusion.</w:t>
      </w:r>
      <w:r w:rsidR="005E236A">
        <w:rPr>
          <w:rStyle w:val="FootnoteReference"/>
          <w:rFonts w:ascii="Times New Roman" w:hAnsi="Times New Roman" w:cs="Times New Roman"/>
          <w:sz w:val="24"/>
          <w:szCs w:val="24"/>
        </w:rPr>
        <w:footnoteReference w:id="113"/>
      </w:r>
      <w:r w:rsidR="005E236A">
        <w:rPr>
          <w:rFonts w:ascii="Times New Roman" w:hAnsi="Times New Roman" w:cs="Times New Roman"/>
          <w:sz w:val="24"/>
          <w:szCs w:val="24"/>
        </w:rPr>
        <w:t xml:space="preserve"> Moreover, the would-be state supplemented these functions with Civil Defense Councils, which</w:t>
      </w:r>
      <w:r w:rsidR="00FC5983">
        <w:rPr>
          <w:rFonts w:ascii="Times New Roman" w:hAnsi="Times New Roman" w:cs="Times New Roman"/>
          <w:sz w:val="24"/>
          <w:szCs w:val="24"/>
        </w:rPr>
        <w:t xml:space="preserve"> constituted an attempt to</w:t>
      </w:r>
      <w:r w:rsidR="005E236A">
        <w:rPr>
          <w:rFonts w:ascii="Times New Roman" w:hAnsi="Times New Roman" w:cs="Times New Roman"/>
          <w:sz w:val="24"/>
          <w:szCs w:val="24"/>
        </w:rPr>
        <w:t xml:space="preserve"> bolster Biafra’s administrative capacity</w:t>
      </w:r>
      <w:r w:rsidR="00CC1B3B">
        <w:rPr>
          <w:rFonts w:ascii="Times New Roman" w:hAnsi="Times New Roman" w:cs="Times New Roman"/>
          <w:sz w:val="24"/>
          <w:szCs w:val="24"/>
        </w:rPr>
        <w:t xml:space="preserve"> alongside civilian-run directorates</w:t>
      </w:r>
      <w:r w:rsidR="005E236A">
        <w:rPr>
          <w:rFonts w:ascii="Times New Roman" w:hAnsi="Times New Roman" w:cs="Times New Roman"/>
          <w:sz w:val="24"/>
          <w:szCs w:val="24"/>
        </w:rPr>
        <w:t xml:space="preserve"> </w:t>
      </w:r>
      <w:r w:rsidR="00CC1B3B">
        <w:rPr>
          <w:rFonts w:ascii="Times New Roman" w:hAnsi="Times New Roman" w:cs="Times New Roman"/>
          <w:sz w:val="24"/>
          <w:szCs w:val="24"/>
        </w:rPr>
        <w:t>which</w:t>
      </w:r>
      <w:r w:rsidR="005E236A">
        <w:rPr>
          <w:rFonts w:ascii="Times New Roman" w:hAnsi="Times New Roman" w:cs="Times New Roman"/>
          <w:sz w:val="24"/>
          <w:szCs w:val="24"/>
        </w:rPr>
        <w:t xml:space="preserve"> helped distribute </w:t>
      </w:r>
      <w:r w:rsidR="00515D50">
        <w:rPr>
          <w:rFonts w:ascii="Times New Roman" w:hAnsi="Times New Roman" w:cs="Times New Roman"/>
          <w:sz w:val="24"/>
          <w:szCs w:val="24"/>
        </w:rPr>
        <w:t>public goods</w:t>
      </w:r>
      <w:r w:rsidR="005E236A">
        <w:rPr>
          <w:rFonts w:ascii="Times New Roman" w:hAnsi="Times New Roman" w:cs="Times New Roman"/>
          <w:sz w:val="24"/>
          <w:szCs w:val="24"/>
        </w:rPr>
        <w:t>, particularly food.</w:t>
      </w:r>
      <w:r w:rsidR="005E236A">
        <w:rPr>
          <w:rStyle w:val="FootnoteReference"/>
          <w:rFonts w:ascii="Times New Roman" w:hAnsi="Times New Roman" w:cs="Times New Roman"/>
          <w:sz w:val="24"/>
          <w:szCs w:val="24"/>
        </w:rPr>
        <w:footnoteReference w:id="114"/>
      </w:r>
      <w:r w:rsidR="005E236A">
        <w:rPr>
          <w:rFonts w:ascii="Times New Roman" w:hAnsi="Times New Roman" w:cs="Times New Roman"/>
          <w:sz w:val="24"/>
          <w:szCs w:val="24"/>
        </w:rPr>
        <w:t xml:space="preserve"> However, there were many shortcomings to this governing apparatus. For one, this was the extent of popular input. One imagines that had Biafra won its civil war, it might conduct elections as Nigeria had just before Biafra’s genesis, but the point stands.</w:t>
      </w:r>
      <w:r w:rsidR="00515D50">
        <w:rPr>
          <w:rFonts w:ascii="Times New Roman" w:hAnsi="Times New Roman" w:cs="Times New Roman"/>
          <w:sz w:val="24"/>
          <w:szCs w:val="24"/>
        </w:rPr>
        <w:t xml:space="preserve"> Also, the </w:t>
      </w:r>
      <w:r w:rsidR="00CC1B3B">
        <w:rPr>
          <w:rFonts w:ascii="Times New Roman" w:hAnsi="Times New Roman" w:cs="Times New Roman"/>
          <w:sz w:val="24"/>
          <w:szCs w:val="24"/>
        </w:rPr>
        <w:t>Civil Defense Councils were born out of a need to compensate for the fact that the government lacked the wherewithal to control the population outside of large population centers. While the councils helped, the deficiency remained.</w:t>
      </w:r>
      <w:r w:rsidR="00CC1B3B">
        <w:rPr>
          <w:rStyle w:val="FootnoteReference"/>
          <w:rFonts w:ascii="Times New Roman" w:hAnsi="Times New Roman" w:cs="Times New Roman"/>
          <w:sz w:val="24"/>
          <w:szCs w:val="24"/>
        </w:rPr>
        <w:footnoteReference w:id="115"/>
      </w:r>
    </w:p>
    <w:p w14:paraId="07595794" w14:textId="56F1E8A3" w:rsidR="00CC1B3B" w:rsidRDefault="00515D50">
      <w:pPr>
        <w:rPr>
          <w:rFonts w:ascii="Times New Roman" w:hAnsi="Times New Roman" w:cs="Times New Roman"/>
          <w:sz w:val="24"/>
          <w:szCs w:val="24"/>
        </w:rPr>
      </w:pPr>
      <w:r>
        <w:rPr>
          <w:rFonts w:ascii="Times New Roman" w:hAnsi="Times New Roman" w:cs="Times New Roman"/>
          <w:sz w:val="24"/>
          <w:szCs w:val="24"/>
        </w:rPr>
        <w:tab/>
        <w:t xml:space="preserve">The distribution apparatus was particularly uninspiring. The </w:t>
      </w:r>
      <w:r w:rsidR="00CC1B3B">
        <w:rPr>
          <w:rFonts w:ascii="Times New Roman" w:hAnsi="Times New Roman" w:cs="Times New Roman"/>
          <w:sz w:val="24"/>
          <w:szCs w:val="24"/>
        </w:rPr>
        <w:t>directorates</w:t>
      </w:r>
      <w:r>
        <w:rPr>
          <w:rFonts w:ascii="Times New Roman" w:hAnsi="Times New Roman" w:cs="Times New Roman"/>
          <w:sz w:val="24"/>
          <w:szCs w:val="24"/>
        </w:rPr>
        <w:t xml:space="preserve"> were tasked not only with distributing food to civilians, but also to the army.</w:t>
      </w:r>
      <w:r w:rsidR="00CC1B3B">
        <w:rPr>
          <w:rStyle w:val="FootnoteReference"/>
          <w:rFonts w:ascii="Times New Roman" w:hAnsi="Times New Roman" w:cs="Times New Roman"/>
          <w:sz w:val="24"/>
          <w:szCs w:val="24"/>
        </w:rPr>
        <w:footnoteReference w:id="116"/>
      </w:r>
      <w:r w:rsidR="00CC1B3B">
        <w:rPr>
          <w:rFonts w:ascii="Times New Roman" w:hAnsi="Times New Roman" w:cs="Times New Roman"/>
          <w:sz w:val="24"/>
          <w:szCs w:val="24"/>
        </w:rPr>
        <w:t xml:space="preserve"> Even before the </w:t>
      </w:r>
      <w:r w:rsidR="000C74E5">
        <w:rPr>
          <w:rFonts w:ascii="Times New Roman" w:hAnsi="Times New Roman" w:cs="Times New Roman"/>
          <w:sz w:val="24"/>
          <w:szCs w:val="24"/>
        </w:rPr>
        <w:t>administrative apparatus crumbled in the face of Biafra’s collapse, it appears that the directorates privileged the latter over the former, yet Biafran soldiers still developed a reputation for being “always hungry.”</w:t>
      </w:r>
      <w:r w:rsidR="000C74E5">
        <w:rPr>
          <w:rStyle w:val="FootnoteReference"/>
          <w:rFonts w:ascii="Times New Roman" w:hAnsi="Times New Roman" w:cs="Times New Roman"/>
          <w:sz w:val="24"/>
          <w:szCs w:val="24"/>
        </w:rPr>
        <w:footnoteReference w:id="117"/>
      </w:r>
      <w:r w:rsidR="00ED4700">
        <w:rPr>
          <w:rFonts w:ascii="Times New Roman" w:hAnsi="Times New Roman" w:cs="Times New Roman"/>
          <w:sz w:val="24"/>
          <w:szCs w:val="24"/>
        </w:rPr>
        <w:t xml:space="preserve"> Additionally, w</w:t>
      </w:r>
      <w:r w:rsidR="00CC1B3B">
        <w:rPr>
          <w:rFonts w:ascii="Times New Roman" w:hAnsi="Times New Roman" w:cs="Times New Roman"/>
          <w:sz w:val="24"/>
          <w:szCs w:val="24"/>
        </w:rPr>
        <w:t>hile the directorates produced some surprising successes,</w:t>
      </w:r>
      <w:r w:rsidR="00CC1B3B">
        <w:rPr>
          <w:rStyle w:val="FootnoteReference"/>
          <w:rFonts w:ascii="Times New Roman" w:hAnsi="Times New Roman" w:cs="Times New Roman"/>
          <w:sz w:val="24"/>
          <w:szCs w:val="24"/>
        </w:rPr>
        <w:footnoteReference w:id="118"/>
      </w:r>
      <w:r w:rsidR="00CC1B3B">
        <w:rPr>
          <w:rFonts w:ascii="Times New Roman" w:hAnsi="Times New Roman" w:cs="Times New Roman"/>
          <w:sz w:val="24"/>
          <w:szCs w:val="24"/>
        </w:rPr>
        <w:t xml:space="preserve"> it appears that they did little to organize or bolster education or health services.</w:t>
      </w:r>
      <w:r w:rsidR="00E24825">
        <w:rPr>
          <w:rFonts w:ascii="Times New Roman" w:hAnsi="Times New Roman" w:cs="Times New Roman"/>
          <w:sz w:val="24"/>
          <w:szCs w:val="24"/>
        </w:rPr>
        <w:t xml:space="preserve"> Most schools ceased </w:t>
      </w:r>
      <w:r w:rsidR="00E24825">
        <w:rPr>
          <w:rFonts w:ascii="Times New Roman" w:hAnsi="Times New Roman" w:cs="Times New Roman"/>
          <w:sz w:val="24"/>
          <w:szCs w:val="24"/>
        </w:rPr>
        <w:lastRenderedPageBreak/>
        <w:t>functioning and the few that continued to run</w:t>
      </w:r>
      <w:r w:rsidR="00ED4700">
        <w:rPr>
          <w:rFonts w:ascii="Times New Roman" w:hAnsi="Times New Roman" w:cs="Times New Roman"/>
          <w:sz w:val="24"/>
          <w:szCs w:val="24"/>
        </w:rPr>
        <w:t xml:space="preserve"> had to </w:t>
      </w:r>
      <w:r w:rsidR="00E24825">
        <w:rPr>
          <w:rFonts w:ascii="Times New Roman" w:hAnsi="Times New Roman" w:cs="Times New Roman"/>
          <w:sz w:val="24"/>
          <w:szCs w:val="24"/>
        </w:rPr>
        <w:t>adopt policies of ending by 10 AM or relocating into the bush.</w:t>
      </w:r>
      <w:r w:rsidR="00E24825">
        <w:rPr>
          <w:rStyle w:val="FootnoteReference"/>
          <w:rFonts w:ascii="Times New Roman" w:hAnsi="Times New Roman" w:cs="Times New Roman"/>
          <w:sz w:val="24"/>
          <w:szCs w:val="24"/>
        </w:rPr>
        <w:footnoteReference w:id="119"/>
      </w:r>
      <w:r w:rsidR="00E24825">
        <w:rPr>
          <w:rFonts w:ascii="Times New Roman" w:hAnsi="Times New Roman" w:cs="Times New Roman"/>
          <w:sz w:val="24"/>
          <w:szCs w:val="24"/>
        </w:rPr>
        <w:t xml:space="preserve"> </w:t>
      </w:r>
    </w:p>
    <w:p w14:paraId="19768C22" w14:textId="35C22901" w:rsidR="00B94E63" w:rsidRDefault="00B94E63">
      <w:pPr>
        <w:rPr>
          <w:rFonts w:ascii="Times New Roman" w:hAnsi="Times New Roman" w:cs="Times New Roman"/>
          <w:sz w:val="24"/>
          <w:szCs w:val="24"/>
        </w:rPr>
      </w:pPr>
      <w:r>
        <w:rPr>
          <w:rFonts w:ascii="Times New Roman" w:hAnsi="Times New Roman" w:cs="Times New Roman"/>
          <w:sz w:val="24"/>
          <w:szCs w:val="24"/>
        </w:rPr>
        <w:tab/>
        <w:t>The conclusion from all of this seems to be that even though this civil service was staffed by civilians, the state’s civil service was often compelled to serve military purposes before addressing civilian concerns.</w:t>
      </w:r>
      <w:r>
        <w:rPr>
          <w:rStyle w:val="FootnoteReference"/>
          <w:rFonts w:ascii="Times New Roman" w:hAnsi="Times New Roman" w:cs="Times New Roman"/>
          <w:sz w:val="24"/>
          <w:szCs w:val="24"/>
        </w:rPr>
        <w:footnoteReference w:id="120"/>
      </w:r>
      <w:r>
        <w:rPr>
          <w:rFonts w:ascii="Times New Roman" w:hAnsi="Times New Roman" w:cs="Times New Roman"/>
          <w:sz w:val="24"/>
          <w:szCs w:val="24"/>
        </w:rPr>
        <w:t xml:space="preserve"> The incorporation of civilians suggests that at some point these institutions might be used in a consultative fashion, but this did not happen in the conflict. The same can be said for what institutions existed that might have otherwise </w:t>
      </w:r>
      <w:proofErr w:type="gramStart"/>
      <w:r>
        <w:rPr>
          <w:rFonts w:ascii="Times New Roman" w:hAnsi="Times New Roman" w:cs="Times New Roman"/>
          <w:sz w:val="24"/>
          <w:szCs w:val="24"/>
        </w:rPr>
        <w:t>been seen as</w:t>
      </w:r>
      <w:proofErr w:type="gramEnd"/>
      <w:r>
        <w:rPr>
          <w:rFonts w:ascii="Times New Roman" w:hAnsi="Times New Roman" w:cs="Times New Roman"/>
          <w:sz w:val="24"/>
          <w:szCs w:val="24"/>
        </w:rPr>
        <w:t xml:space="preserve"> representative—had Biafra won the war, they might have become effective consultative instruments. They did not reach their potential during the conflict, though.</w:t>
      </w:r>
      <w:r>
        <w:rPr>
          <w:rStyle w:val="FootnoteReference"/>
          <w:rFonts w:ascii="Times New Roman" w:hAnsi="Times New Roman" w:cs="Times New Roman"/>
          <w:sz w:val="24"/>
          <w:szCs w:val="24"/>
        </w:rPr>
        <w:footnoteReference w:id="121"/>
      </w:r>
    </w:p>
    <w:p w14:paraId="09817D98" w14:textId="77777777" w:rsidR="009F57DF" w:rsidRDefault="009F57DF">
      <w:pPr>
        <w:rPr>
          <w:rFonts w:ascii="Times New Roman" w:hAnsi="Times New Roman" w:cs="Times New Roman"/>
          <w:b/>
          <w:sz w:val="24"/>
          <w:szCs w:val="24"/>
        </w:rPr>
      </w:pPr>
      <w:r>
        <w:rPr>
          <w:rFonts w:ascii="Times New Roman" w:hAnsi="Times New Roman" w:cs="Times New Roman"/>
          <w:b/>
          <w:sz w:val="24"/>
          <w:szCs w:val="24"/>
        </w:rPr>
        <w:t>Pakistan (1971)</w:t>
      </w:r>
    </w:p>
    <w:p w14:paraId="47BBE5DE"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t xml:space="preserve">Rebels / Incumbents: </w:t>
      </w:r>
      <w:r w:rsidR="0073637C">
        <w:rPr>
          <w:rFonts w:ascii="Times New Roman" w:hAnsi="Times New Roman" w:cs="Times New Roman"/>
          <w:sz w:val="24"/>
          <w:szCs w:val="24"/>
        </w:rPr>
        <w:t xml:space="preserve">Mukti </w:t>
      </w:r>
      <w:proofErr w:type="spellStart"/>
      <w:r w:rsidR="00F448FE">
        <w:rPr>
          <w:rFonts w:ascii="Times New Roman" w:hAnsi="Times New Roman" w:cs="Times New Roman"/>
          <w:sz w:val="24"/>
          <w:szCs w:val="24"/>
        </w:rPr>
        <w:t>Bahini</w:t>
      </w:r>
      <w:proofErr w:type="spellEnd"/>
      <w:r w:rsidR="00F448FE">
        <w:rPr>
          <w:rFonts w:ascii="Times New Roman" w:hAnsi="Times New Roman" w:cs="Times New Roman"/>
          <w:sz w:val="24"/>
          <w:szCs w:val="24"/>
        </w:rPr>
        <w:t xml:space="preserve"> / Pakistan</w:t>
      </w:r>
    </w:p>
    <w:p w14:paraId="0E6E5197" w14:textId="77777777"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323550">
        <w:rPr>
          <w:rFonts w:ascii="Times New Roman" w:hAnsi="Times New Roman" w:cs="Times New Roman"/>
          <w:b/>
          <w:sz w:val="24"/>
          <w:szCs w:val="24"/>
        </w:rPr>
        <w:t>0</w:t>
      </w:r>
      <w:r w:rsidRPr="00F62BA4">
        <w:rPr>
          <w:rFonts w:ascii="Times New Roman" w:hAnsi="Times New Roman" w:cs="Times New Roman"/>
          <w:b/>
          <w:sz w:val="24"/>
          <w:szCs w:val="24"/>
        </w:rPr>
        <w:t xml:space="preserve">; Public Goods: </w:t>
      </w:r>
      <w:r w:rsidR="00323550">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323550">
        <w:rPr>
          <w:rFonts w:ascii="Times New Roman" w:hAnsi="Times New Roman" w:cs="Times New Roman"/>
          <w:b/>
          <w:sz w:val="24"/>
          <w:szCs w:val="24"/>
        </w:rPr>
        <w:t xml:space="preserve"> 1</w:t>
      </w:r>
    </w:p>
    <w:p w14:paraId="393CBC76" w14:textId="77777777" w:rsidR="009F57DF" w:rsidRDefault="00F448FE">
      <w:pPr>
        <w:rPr>
          <w:rFonts w:ascii="Times New Roman" w:hAnsi="Times New Roman" w:cs="Times New Roman"/>
          <w:sz w:val="24"/>
          <w:szCs w:val="24"/>
        </w:rPr>
      </w:pPr>
      <w:r>
        <w:rPr>
          <w:rFonts w:ascii="Times New Roman" w:hAnsi="Times New Roman" w:cs="Times New Roman"/>
          <w:sz w:val="24"/>
          <w:szCs w:val="24"/>
        </w:rPr>
        <w:tab/>
        <w:t>Pakistan’s military junta began Operation Searchlight in March of 1971. This program was meant to destroy secessionist tendencies</w:t>
      </w:r>
      <w:r w:rsidR="007E6238">
        <w:rPr>
          <w:rFonts w:ascii="Times New Roman" w:hAnsi="Times New Roman" w:cs="Times New Roman"/>
          <w:sz w:val="24"/>
          <w:szCs w:val="24"/>
        </w:rPr>
        <w:t xml:space="preserve">—specifically the pro-independence </w:t>
      </w:r>
      <w:proofErr w:type="spellStart"/>
      <w:r w:rsidR="007E6238">
        <w:rPr>
          <w:rFonts w:ascii="Times New Roman" w:hAnsi="Times New Roman" w:cs="Times New Roman"/>
          <w:sz w:val="24"/>
          <w:szCs w:val="24"/>
        </w:rPr>
        <w:t>Awami</w:t>
      </w:r>
      <w:proofErr w:type="spellEnd"/>
      <w:r w:rsidR="007E6238">
        <w:rPr>
          <w:rFonts w:ascii="Times New Roman" w:hAnsi="Times New Roman" w:cs="Times New Roman"/>
          <w:sz w:val="24"/>
          <w:szCs w:val="24"/>
        </w:rPr>
        <w:t xml:space="preserve"> League who had performed well in the 1970 parliamentary elections—</w:t>
      </w:r>
      <w:r>
        <w:rPr>
          <w:rFonts w:ascii="Times New Roman" w:hAnsi="Times New Roman" w:cs="Times New Roman"/>
          <w:sz w:val="24"/>
          <w:szCs w:val="24"/>
        </w:rPr>
        <w:t xml:space="preserve">by taking control of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then-East Pakistan’s major population centers and killing</w:t>
      </w:r>
      <w:r w:rsidR="007E6238">
        <w:rPr>
          <w:rFonts w:ascii="Times New Roman" w:hAnsi="Times New Roman" w:cs="Times New Roman"/>
          <w:sz w:val="24"/>
          <w:szCs w:val="24"/>
        </w:rPr>
        <w:t xml:space="preserve"> any member of the </w:t>
      </w:r>
      <w:proofErr w:type="spellStart"/>
      <w:r w:rsidR="007E6238">
        <w:rPr>
          <w:rFonts w:ascii="Times New Roman" w:hAnsi="Times New Roman" w:cs="Times New Roman"/>
          <w:sz w:val="24"/>
          <w:szCs w:val="24"/>
        </w:rPr>
        <w:t>Awami</w:t>
      </w:r>
      <w:proofErr w:type="spellEnd"/>
      <w:r w:rsidR="007E6238">
        <w:rPr>
          <w:rFonts w:ascii="Times New Roman" w:hAnsi="Times New Roman" w:cs="Times New Roman"/>
          <w:sz w:val="24"/>
          <w:szCs w:val="24"/>
        </w:rPr>
        <w:t xml:space="preserve"> League they found along with</w:t>
      </w:r>
      <w:r>
        <w:rPr>
          <w:rFonts w:ascii="Times New Roman" w:hAnsi="Times New Roman" w:cs="Times New Roman"/>
          <w:sz w:val="24"/>
          <w:szCs w:val="24"/>
        </w:rPr>
        <w:t xml:space="preserve"> anyone</w:t>
      </w:r>
      <w:r w:rsidR="007E6238">
        <w:rPr>
          <w:rFonts w:ascii="Times New Roman" w:hAnsi="Times New Roman" w:cs="Times New Roman"/>
          <w:sz w:val="24"/>
          <w:szCs w:val="24"/>
        </w:rPr>
        <w:t xml:space="preserve"> else</w:t>
      </w:r>
      <w:r>
        <w:rPr>
          <w:rFonts w:ascii="Times New Roman" w:hAnsi="Times New Roman" w:cs="Times New Roman"/>
          <w:sz w:val="24"/>
          <w:szCs w:val="24"/>
        </w:rPr>
        <w:t xml:space="preserve"> who resists</w:t>
      </w:r>
      <w:r w:rsidR="007E6238">
        <w:rPr>
          <w:rFonts w:ascii="Times New Roman" w:hAnsi="Times New Roman" w:cs="Times New Roman"/>
          <w:sz w:val="24"/>
          <w:szCs w:val="24"/>
        </w:rPr>
        <w:t>. This</w:t>
      </w:r>
      <w:r>
        <w:rPr>
          <w:rFonts w:ascii="Times New Roman" w:hAnsi="Times New Roman" w:cs="Times New Roman"/>
          <w:sz w:val="24"/>
          <w:szCs w:val="24"/>
        </w:rPr>
        <w:t xml:space="preserve"> ultimately lead to a genocidal death toll, to say nothing of other forms of violence visited upon Bengalis.</w:t>
      </w:r>
      <w:r w:rsidR="006C1697">
        <w:rPr>
          <w:rStyle w:val="FootnoteReference"/>
          <w:rFonts w:ascii="Times New Roman" w:hAnsi="Times New Roman" w:cs="Times New Roman"/>
          <w:sz w:val="24"/>
          <w:szCs w:val="24"/>
        </w:rPr>
        <w:footnoteReference w:id="122"/>
      </w:r>
      <w:r>
        <w:rPr>
          <w:rFonts w:ascii="Times New Roman" w:hAnsi="Times New Roman" w:cs="Times New Roman"/>
          <w:sz w:val="24"/>
          <w:szCs w:val="24"/>
        </w:rPr>
        <w:t xml:space="preserve"> </w:t>
      </w:r>
      <w:r w:rsidR="006C1697">
        <w:rPr>
          <w:rFonts w:ascii="Times New Roman" w:hAnsi="Times New Roman" w:cs="Times New Roman"/>
          <w:sz w:val="24"/>
          <w:szCs w:val="24"/>
        </w:rPr>
        <w:t>India intervened covertly</w:t>
      </w:r>
      <w:r w:rsidR="0024078D">
        <w:rPr>
          <w:rFonts w:ascii="Times New Roman" w:hAnsi="Times New Roman" w:cs="Times New Roman"/>
          <w:sz w:val="24"/>
          <w:szCs w:val="24"/>
        </w:rPr>
        <w:t xml:space="preserve"> as early as May by providing materiel to the rebels.</w:t>
      </w:r>
      <w:r w:rsidR="0024078D">
        <w:rPr>
          <w:rStyle w:val="FootnoteReference"/>
          <w:rFonts w:ascii="Times New Roman" w:hAnsi="Times New Roman" w:cs="Times New Roman"/>
          <w:sz w:val="24"/>
          <w:szCs w:val="24"/>
        </w:rPr>
        <w:footnoteReference w:id="123"/>
      </w:r>
      <w:r w:rsidR="0024078D">
        <w:rPr>
          <w:rFonts w:ascii="Times New Roman" w:hAnsi="Times New Roman" w:cs="Times New Roman"/>
          <w:sz w:val="24"/>
          <w:szCs w:val="24"/>
        </w:rPr>
        <w:t xml:space="preserve"> By </w:t>
      </w:r>
      <w:r w:rsidR="006C1697">
        <w:rPr>
          <w:rFonts w:ascii="Times New Roman" w:hAnsi="Times New Roman" w:cs="Times New Roman"/>
          <w:sz w:val="24"/>
          <w:szCs w:val="24"/>
        </w:rPr>
        <w:t>September</w:t>
      </w:r>
      <w:r w:rsidR="0024078D">
        <w:rPr>
          <w:rFonts w:ascii="Times New Roman" w:hAnsi="Times New Roman" w:cs="Times New Roman"/>
          <w:sz w:val="24"/>
          <w:szCs w:val="24"/>
        </w:rPr>
        <w:t xml:space="preserve">, they were </w:t>
      </w:r>
      <w:r w:rsidR="006C1697">
        <w:rPr>
          <w:rFonts w:ascii="Times New Roman" w:hAnsi="Times New Roman" w:cs="Times New Roman"/>
          <w:sz w:val="24"/>
          <w:szCs w:val="24"/>
        </w:rPr>
        <w:t xml:space="preserve">training Mukti </w:t>
      </w:r>
      <w:proofErr w:type="spellStart"/>
      <w:r w:rsidR="006C1697">
        <w:rPr>
          <w:rFonts w:ascii="Times New Roman" w:hAnsi="Times New Roman" w:cs="Times New Roman"/>
          <w:sz w:val="24"/>
          <w:szCs w:val="24"/>
        </w:rPr>
        <w:t>Bahini</w:t>
      </w:r>
      <w:proofErr w:type="spellEnd"/>
      <w:r w:rsidR="006C1697">
        <w:rPr>
          <w:rFonts w:ascii="Times New Roman" w:hAnsi="Times New Roman" w:cs="Times New Roman"/>
          <w:sz w:val="24"/>
          <w:szCs w:val="24"/>
        </w:rPr>
        <w:t xml:space="preserve"> troops and (according to some unconfirmed reports) with paramilitary personnel fighting alongside the rebels in plain clothes before intervening directly and in force December.</w:t>
      </w:r>
      <w:r w:rsidR="006C1697">
        <w:rPr>
          <w:rStyle w:val="FootnoteReference"/>
          <w:rFonts w:ascii="Times New Roman" w:hAnsi="Times New Roman" w:cs="Times New Roman"/>
          <w:sz w:val="24"/>
          <w:szCs w:val="24"/>
        </w:rPr>
        <w:footnoteReference w:id="124"/>
      </w:r>
      <w:r w:rsidR="006C1697">
        <w:rPr>
          <w:rFonts w:ascii="Times New Roman" w:hAnsi="Times New Roman" w:cs="Times New Roman"/>
          <w:sz w:val="24"/>
          <w:szCs w:val="24"/>
        </w:rPr>
        <w:t xml:space="preserve"> The direct confrontation lasted twelve days, with Pakistani forces routed and what is now Bangladesh in the hands of the Mukti </w:t>
      </w:r>
      <w:proofErr w:type="spellStart"/>
      <w:r w:rsidR="006C1697">
        <w:rPr>
          <w:rFonts w:ascii="Times New Roman" w:hAnsi="Times New Roman" w:cs="Times New Roman"/>
          <w:sz w:val="24"/>
          <w:szCs w:val="24"/>
        </w:rPr>
        <w:t>Bahini</w:t>
      </w:r>
      <w:proofErr w:type="spellEnd"/>
      <w:r w:rsidR="006C1697">
        <w:rPr>
          <w:rFonts w:ascii="Times New Roman" w:hAnsi="Times New Roman" w:cs="Times New Roman"/>
          <w:sz w:val="24"/>
          <w:szCs w:val="24"/>
        </w:rPr>
        <w:t xml:space="preserve"> and their Indian patrons.</w:t>
      </w:r>
    </w:p>
    <w:p w14:paraId="6A16D3F4" w14:textId="77777777" w:rsidR="00F448FE" w:rsidRPr="00F448FE" w:rsidRDefault="00A04FF7">
      <w:pPr>
        <w:rPr>
          <w:rFonts w:ascii="Times New Roman" w:hAnsi="Times New Roman" w:cs="Times New Roman"/>
          <w:sz w:val="24"/>
          <w:szCs w:val="24"/>
        </w:rPr>
      </w:pPr>
      <w:r>
        <w:rPr>
          <w:rFonts w:ascii="Times New Roman" w:hAnsi="Times New Roman" w:cs="Times New Roman"/>
          <w:sz w:val="24"/>
          <w:szCs w:val="24"/>
        </w:rPr>
        <w:tab/>
        <w:t xml:space="preserve">Although the Mukti </w:t>
      </w:r>
      <w:proofErr w:type="spellStart"/>
      <w:r>
        <w:rPr>
          <w:rFonts w:ascii="Times New Roman" w:hAnsi="Times New Roman" w:cs="Times New Roman"/>
          <w:sz w:val="24"/>
          <w:szCs w:val="24"/>
        </w:rPr>
        <w:t>Bahini</w:t>
      </w:r>
      <w:proofErr w:type="spellEnd"/>
      <w:r>
        <w:rPr>
          <w:rFonts w:ascii="Times New Roman" w:hAnsi="Times New Roman" w:cs="Times New Roman"/>
          <w:sz w:val="24"/>
          <w:szCs w:val="24"/>
        </w:rPr>
        <w:t xml:space="preserve"> were capable of waging guerilla warfare by the time India directly intervened,</w:t>
      </w:r>
      <w:r>
        <w:rPr>
          <w:rStyle w:val="FootnoteReference"/>
          <w:rFonts w:ascii="Times New Roman" w:hAnsi="Times New Roman" w:cs="Times New Roman"/>
          <w:sz w:val="24"/>
          <w:szCs w:val="24"/>
        </w:rPr>
        <w:footnoteReference w:id="125"/>
      </w:r>
      <w:r>
        <w:rPr>
          <w:rFonts w:ascii="Times New Roman" w:hAnsi="Times New Roman" w:cs="Times New Roman"/>
          <w:sz w:val="24"/>
          <w:szCs w:val="24"/>
        </w:rPr>
        <w:t xml:space="preserve"> they held little territory. However, Bengalis held sway over small portions of the country</w:t>
      </w:r>
      <w:r w:rsidR="0079730A">
        <w:rPr>
          <w:rFonts w:ascii="Times New Roman" w:hAnsi="Times New Roman" w:cs="Times New Roman"/>
          <w:sz w:val="24"/>
          <w:szCs w:val="24"/>
        </w:rPr>
        <w:t>. Reports of governance are sparse, but more common are reports suggesting that Urdu speakers suffered horrors comparable to those suffered by Bengalis at the hands of the Pakistani forces.</w:t>
      </w:r>
      <w:r w:rsidR="0079730A">
        <w:rPr>
          <w:rStyle w:val="FootnoteReference"/>
          <w:rFonts w:ascii="Times New Roman" w:hAnsi="Times New Roman" w:cs="Times New Roman"/>
          <w:sz w:val="24"/>
          <w:szCs w:val="24"/>
        </w:rPr>
        <w:footnoteReference w:id="126"/>
      </w:r>
      <w:r w:rsidR="003B44EE">
        <w:rPr>
          <w:rFonts w:ascii="Times New Roman" w:hAnsi="Times New Roman" w:cs="Times New Roman"/>
          <w:sz w:val="24"/>
          <w:szCs w:val="24"/>
        </w:rPr>
        <w:t xml:space="preserve"> The one instance of governance that can be said to have taken place was the </w:t>
      </w:r>
      <w:r w:rsidR="003B44EE">
        <w:rPr>
          <w:rFonts w:ascii="Times New Roman" w:hAnsi="Times New Roman" w:cs="Times New Roman"/>
          <w:sz w:val="24"/>
          <w:szCs w:val="24"/>
        </w:rPr>
        <w:lastRenderedPageBreak/>
        <w:t>meeting</w:t>
      </w:r>
      <w:r w:rsidR="00323550">
        <w:rPr>
          <w:rFonts w:ascii="Times New Roman" w:hAnsi="Times New Roman" w:cs="Times New Roman"/>
          <w:sz w:val="24"/>
          <w:szCs w:val="24"/>
        </w:rPr>
        <w:t xml:space="preserve"> in </w:t>
      </w:r>
      <w:proofErr w:type="spellStart"/>
      <w:r w:rsidR="00323550">
        <w:rPr>
          <w:rFonts w:ascii="Times New Roman" w:hAnsi="Times New Roman" w:cs="Times New Roman"/>
          <w:sz w:val="24"/>
          <w:szCs w:val="24"/>
        </w:rPr>
        <w:t>Mujibnagar</w:t>
      </w:r>
      <w:proofErr w:type="spellEnd"/>
      <w:r w:rsidR="00323550">
        <w:rPr>
          <w:rFonts w:ascii="Times New Roman" w:hAnsi="Times New Roman" w:cs="Times New Roman"/>
          <w:sz w:val="24"/>
          <w:szCs w:val="24"/>
        </w:rPr>
        <w:t xml:space="preserve"> by elected members of the </w:t>
      </w:r>
      <w:proofErr w:type="spellStart"/>
      <w:r w:rsidR="00323550">
        <w:rPr>
          <w:rFonts w:ascii="Times New Roman" w:hAnsi="Times New Roman" w:cs="Times New Roman"/>
          <w:sz w:val="24"/>
          <w:szCs w:val="24"/>
        </w:rPr>
        <w:t>Awami</w:t>
      </w:r>
      <w:proofErr w:type="spellEnd"/>
      <w:r w:rsidR="00323550">
        <w:rPr>
          <w:rFonts w:ascii="Times New Roman" w:hAnsi="Times New Roman" w:cs="Times New Roman"/>
          <w:sz w:val="24"/>
          <w:szCs w:val="24"/>
        </w:rPr>
        <w:t xml:space="preserve"> League who had been prevented from to taking their seats to contribute to what was to be Pakistan’s new constitution. On April 17</w:t>
      </w:r>
      <w:r w:rsidR="00323550" w:rsidRPr="00323550">
        <w:rPr>
          <w:rFonts w:ascii="Times New Roman" w:hAnsi="Times New Roman" w:cs="Times New Roman"/>
          <w:sz w:val="24"/>
          <w:szCs w:val="24"/>
          <w:vertAlign w:val="superscript"/>
        </w:rPr>
        <w:t>th</w:t>
      </w:r>
      <w:r w:rsidR="00323550">
        <w:rPr>
          <w:rFonts w:ascii="Times New Roman" w:hAnsi="Times New Roman" w:cs="Times New Roman"/>
          <w:sz w:val="24"/>
          <w:szCs w:val="24"/>
        </w:rPr>
        <w:t>, they penned a Proclamation of Independence declaring the formation of a new government.</w:t>
      </w:r>
      <w:r w:rsidR="00323550">
        <w:rPr>
          <w:rStyle w:val="FootnoteReference"/>
          <w:rFonts w:ascii="Times New Roman" w:hAnsi="Times New Roman" w:cs="Times New Roman"/>
          <w:sz w:val="24"/>
          <w:szCs w:val="24"/>
        </w:rPr>
        <w:footnoteReference w:id="127"/>
      </w:r>
      <w:r w:rsidR="00323550">
        <w:rPr>
          <w:rFonts w:ascii="Times New Roman" w:hAnsi="Times New Roman" w:cs="Times New Roman"/>
          <w:sz w:val="24"/>
          <w:szCs w:val="24"/>
        </w:rPr>
        <w:t xml:space="preserve"> While this is only a single event, it happened </w:t>
      </w:r>
      <w:proofErr w:type="gramStart"/>
      <w:r w:rsidR="00323550">
        <w:rPr>
          <w:rFonts w:ascii="Times New Roman" w:hAnsi="Times New Roman" w:cs="Times New Roman"/>
          <w:sz w:val="24"/>
          <w:szCs w:val="24"/>
        </w:rPr>
        <w:t>in the midst of</w:t>
      </w:r>
      <w:proofErr w:type="gramEnd"/>
      <w:r w:rsidR="00323550">
        <w:rPr>
          <w:rFonts w:ascii="Times New Roman" w:hAnsi="Times New Roman" w:cs="Times New Roman"/>
          <w:sz w:val="24"/>
          <w:szCs w:val="24"/>
        </w:rPr>
        <w:t xml:space="preserve"> the war and was done by elected members of the eventual rebel group in broad accordance with the goals of that rebel group.</w:t>
      </w:r>
    </w:p>
    <w:p w14:paraId="08CE36B9" w14:textId="77777777" w:rsidR="009F57DF" w:rsidRDefault="009F57DF">
      <w:pPr>
        <w:rPr>
          <w:rFonts w:ascii="Times New Roman" w:hAnsi="Times New Roman" w:cs="Times New Roman"/>
          <w:b/>
          <w:sz w:val="24"/>
          <w:szCs w:val="24"/>
        </w:rPr>
      </w:pPr>
      <w:r>
        <w:rPr>
          <w:rFonts w:ascii="Times New Roman" w:hAnsi="Times New Roman" w:cs="Times New Roman"/>
          <w:b/>
          <w:sz w:val="24"/>
          <w:szCs w:val="24"/>
        </w:rPr>
        <w:t>Pakistan (1973-1977)</w:t>
      </w:r>
    </w:p>
    <w:p w14:paraId="6A160D14" w14:textId="77777777" w:rsidR="009F57DF" w:rsidRDefault="009F57DF" w:rsidP="009F57DF">
      <w:pPr>
        <w:rPr>
          <w:rFonts w:ascii="Times New Roman" w:hAnsi="Times New Roman" w:cs="Times New Roman"/>
          <w:sz w:val="24"/>
          <w:szCs w:val="24"/>
        </w:rPr>
      </w:pPr>
      <w:r>
        <w:rPr>
          <w:rFonts w:ascii="Times New Roman" w:hAnsi="Times New Roman" w:cs="Times New Roman"/>
          <w:sz w:val="24"/>
          <w:szCs w:val="24"/>
        </w:rPr>
        <w:t xml:space="preserve">Rebels / Incumbents: </w:t>
      </w:r>
      <w:r w:rsidR="00890616">
        <w:rPr>
          <w:rFonts w:ascii="Times New Roman" w:hAnsi="Times New Roman" w:cs="Times New Roman"/>
          <w:sz w:val="24"/>
          <w:szCs w:val="24"/>
        </w:rPr>
        <w:t xml:space="preserve">Various groups which coalesced around the </w:t>
      </w:r>
      <w:proofErr w:type="spellStart"/>
      <w:r w:rsidR="00890616">
        <w:rPr>
          <w:rFonts w:ascii="Times New Roman" w:hAnsi="Times New Roman" w:cs="Times New Roman"/>
          <w:sz w:val="24"/>
          <w:szCs w:val="24"/>
        </w:rPr>
        <w:t>Balochistan</w:t>
      </w:r>
      <w:proofErr w:type="spellEnd"/>
      <w:r w:rsidR="00890616">
        <w:rPr>
          <w:rFonts w:ascii="Times New Roman" w:hAnsi="Times New Roman" w:cs="Times New Roman"/>
          <w:sz w:val="24"/>
          <w:szCs w:val="24"/>
        </w:rPr>
        <w:t xml:space="preserve"> People’s Liberation Front (BPLF) / Pakistan</w:t>
      </w:r>
    </w:p>
    <w:p w14:paraId="6B00A91B" w14:textId="77777777" w:rsidR="009F57DF" w:rsidRDefault="009F57DF" w:rsidP="009F57DF">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6A033F">
        <w:rPr>
          <w:rFonts w:ascii="Times New Roman" w:hAnsi="Times New Roman" w:cs="Times New Roman"/>
          <w:b/>
          <w:sz w:val="24"/>
          <w:szCs w:val="24"/>
        </w:rPr>
        <w:t>0</w:t>
      </w:r>
      <w:r w:rsidRPr="00F62BA4">
        <w:rPr>
          <w:rFonts w:ascii="Times New Roman" w:hAnsi="Times New Roman" w:cs="Times New Roman"/>
          <w:b/>
          <w:sz w:val="24"/>
          <w:szCs w:val="24"/>
        </w:rPr>
        <w:t xml:space="preserve">; Public Goods: </w:t>
      </w:r>
      <w:r w:rsidR="006A033F">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6A033F">
        <w:rPr>
          <w:rFonts w:ascii="Times New Roman" w:hAnsi="Times New Roman" w:cs="Times New Roman"/>
          <w:b/>
          <w:sz w:val="24"/>
          <w:szCs w:val="24"/>
        </w:rPr>
        <w:t xml:space="preserve"> 0</w:t>
      </w:r>
    </w:p>
    <w:p w14:paraId="13645FC8" w14:textId="77777777" w:rsidR="00890616" w:rsidRDefault="00890616" w:rsidP="003719F9">
      <w:pPr>
        <w:rPr>
          <w:rFonts w:ascii="Times New Roman" w:hAnsi="Times New Roman" w:cs="Times New Roman"/>
          <w:sz w:val="24"/>
          <w:szCs w:val="24"/>
        </w:rPr>
      </w:pPr>
      <w:r>
        <w:rPr>
          <w:rFonts w:ascii="Times New Roman" w:hAnsi="Times New Roman" w:cs="Times New Roman"/>
          <w:sz w:val="24"/>
          <w:szCs w:val="24"/>
        </w:rPr>
        <w:tab/>
        <w:t xml:space="preserve">In 1973, disappointed by the lack of influence of his ruling Pakistan People’s Party (PPP) and wishing to bring the region into the fold, Prime Minister </w:t>
      </w:r>
      <w:r w:rsidRPr="00890616">
        <w:rPr>
          <w:rFonts w:ascii="Times New Roman" w:hAnsi="Times New Roman" w:cs="Times New Roman"/>
          <w:sz w:val="24"/>
          <w:szCs w:val="24"/>
        </w:rPr>
        <w:t>Zulfiqar Ali Bhutto</w:t>
      </w:r>
      <w:r>
        <w:rPr>
          <w:rFonts w:ascii="Times New Roman" w:hAnsi="Times New Roman" w:cs="Times New Roman"/>
          <w:sz w:val="24"/>
          <w:szCs w:val="24"/>
        </w:rPr>
        <w:t xml:space="preserve"> dispatched </w:t>
      </w:r>
      <w:r w:rsidR="000258A2">
        <w:rPr>
          <w:rFonts w:ascii="Times New Roman" w:hAnsi="Times New Roman" w:cs="Times New Roman"/>
          <w:sz w:val="24"/>
          <w:szCs w:val="24"/>
        </w:rPr>
        <w:t xml:space="preserve">the army to the region and dismissed the provincial assemblies. This led to revolt, sparking a secessionist insurgency. </w:t>
      </w:r>
      <w:r w:rsidR="00240837">
        <w:rPr>
          <w:rFonts w:ascii="Times New Roman" w:hAnsi="Times New Roman" w:cs="Times New Roman"/>
          <w:sz w:val="24"/>
          <w:szCs w:val="24"/>
        </w:rPr>
        <w:t>N</w:t>
      </w:r>
      <w:r w:rsidR="000258A2">
        <w:rPr>
          <w:rFonts w:ascii="Times New Roman" w:hAnsi="Times New Roman" w:cs="Times New Roman"/>
          <w:sz w:val="24"/>
          <w:szCs w:val="24"/>
        </w:rPr>
        <w:t xml:space="preserve">ot nearly as brutal as the conflict that led to Bangladesh’s secession, </w:t>
      </w:r>
      <w:r w:rsidR="00240837">
        <w:rPr>
          <w:rFonts w:ascii="Times New Roman" w:hAnsi="Times New Roman" w:cs="Times New Roman"/>
          <w:sz w:val="24"/>
          <w:szCs w:val="24"/>
        </w:rPr>
        <w:t>the war ended</w:t>
      </w:r>
      <w:r w:rsidR="000258A2">
        <w:rPr>
          <w:rFonts w:ascii="Times New Roman" w:hAnsi="Times New Roman" w:cs="Times New Roman"/>
          <w:sz w:val="24"/>
          <w:szCs w:val="24"/>
        </w:rPr>
        <w:t xml:space="preserve"> 1977 with a total death toll of about 9,000</w:t>
      </w:r>
      <w:r w:rsidR="003719F9">
        <w:rPr>
          <w:rFonts w:ascii="Times New Roman" w:hAnsi="Times New Roman" w:cs="Times New Roman"/>
          <w:sz w:val="24"/>
          <w:szCs w:val="24"/>
        </w:rPr>
        <w:t xml:space="preserve"> and Pakistan declaring victory</w:t>
      </w:r>
      <w:r w:rsidR="000258A2">
        <w:rPr>
          <w:rFonts w:ascii="Times New Roman" w:hAnsi="Times New Roman" w:cs="Times New Roman"/>
          <w:sz w:val="24"/>
          <w:szCs w:val="24"/>
        </w:rPr>
        <w:t>.</w:t>
      </w:r>
      <w:r w:rsidR="000258A2">
        <w:rPr>
          <w:rStyle w:val="FootnoteReference"/>
          <w:rFonts w:ascii="Times New Roman" w:hAnsi="Times New Roman" w:cs="Times New Roman"/>
          <w:sz w:val="24"/>
          <w:szCs w:val="24"/>
        </w:rPr>
        <w:footnoteReference w:id="128"/>
      </w:r>
      <w:r w:rsidR="003719F9">
        <w:rPr>
          <w:rFonts w:ascii="Times New Roman" w:hAnsi="Times New Roman" w:cs="Times New Roman"/>
          <w:sz w:val="24"/>
          <w:szCs w:val="24"/>
        </w:rPr>
        <w:t xml:space="preserve"> </w:t>
      </w:r>
    </w:p>
    <w:p w14:paraId="0CBB2F96" w14:textId="77777777" w:rsidR="00240837" w:rsidRDefault="003719F9">
      <w:pPr>
        <w:rPr>
          <w:rFonts w:ascii="Times New Roman" w:hAnsi="Times New Roman" w:cs="Times New Roman"/>
          <w:sz w:val="24"/>
          <w:szCs w:val="24"/>
        </w:rPr>
      </w:pPr>
      <w:r>
        <w:rPr>
          <w:rFonts w:ascii="Times New Roman" w:hAnsi="Times New Roman" w:cs="Times New Roman"/>
          <w:sz w:val="24"/>
          <w:szCs w:val="24"/>
        </w:rPr>
        <w:tab/>
      </w:r>
      <w:r w:rsidR="00886A8E">
        <w:rPr>
          <w:rFonts w:ascii="Times New Roman" w:hAnsi="Times New Roman" w:cs="Times New Roman"/>
          <w:sz w:val="24"/>
          <w:szCs w:val="24"/>
        </w:rPr>
        <w:t>The insurgency was largely disorganized.</w:t>
      </w:r>
      <w:r w:rsidR="00886A8E">
        <w:rPr>
          <w:rStyle w:val="FootnoteReference"/>
          <w:rFonts w:ascii="Times New Roman" w:hAnsi="Times New Roman" w:cs="Times New Roman"/>
          <w:sz w:val="24"/>
          <w:szCs w:val="24"/>
        </w:rPr>
        <w:footnoteReference w:id="129"/>
      </w:r>
      <w:r w:rsidR="00886A8E">
        <w:rPr>
          <w:rFonts w:ascii="Times New Roman" w:hAnsi="Times New Roman" w:cs="Times New Roman"/>
          <w:sz w:val="24"/>
          <w:szCs w:val="24"/>
        </w:rPr>
        <w:t xml:space="preserve"> </w:t>
      </w:r>
      <w:r w:rsidR="00F13C2C">
        <w:rPr>
          <w:rFonts w:ascii="Times New Roman" w:hAnsi="Times New Roman" w:cs="Times New Roman"/>
          <w:sz w:val="24"/>
          <w:szCs w:val="24"/>
        </w:rPr>
        <w:t xml:space="preserve">Beyond the </w:t>
      </w:r>
      <w:r w:rsidR="00886A8E">
        <w:rPr>
          <w:rFonts w:ascii="Times New Roman" w:hAnsi="Times New Roman" w:cs="Times New Roman"/>
          <w:sz w:val="24"/>
          <w:szCs w:val="24"/>
        </w:rPr>
        <w:t xml:space="preserve">convictions </w:t>
      </w:r>
      <w:r w:rsidR="00F13C2C">
        <w:rPr>
          <w:rFonts w:ascii="Times New Roman" w:hAnsi="Times New Roman" w:cs="Times New Roman"/>
          <w:sz w:val="24"/>
          <w:szCs w:val="24"/>
        </w:rPr>
        <w:t>that Baluchistan should be independent</w:t>
      </w:r>
      <w:r w:rsidR="00886A8E">
        <w:rPr>
          <w:rFonts w:ascii="Times New Roman" w:hAnsi="Times New Roman" w:cs="Times New Roman"/>
          <w:sz w:val="24"/>
          <w:szCs w:val="24"/>
        </w:rPr>
        <w:t xml:space="preserve"> and </w:t>
      </w:r>
      <w:r w:rsidR="00F13C2C">
        <w:rPr>
          <w:rFonts w:ascii="Times New Roman" w:hAnsi="Times New Roman" w:cs="Times New Roman"/>
          <w:sz w:val="24"/>
          <w:szCs w:val="24"/>
        </w:rPr>
        <w:t>that the region’s mineral wealth could sustain such a venture, little held the insurgency together</w:t>
      </w:r>
      <w:r w:rsidR="003E5959">
        <w:rPr>
          <w:rFonts w:ascii="Times New Roman" w:hAnsi="Times New Roman" w:cs="Times New Roman"/>
          <w:sz w:val="24"/>
          <w:szCs w:val="24"/>
        </w:rPr>
        <w:t>, even at its conclusion</w:t>
      </w:r>
      <w:r w:rsidR="00F13C2C">
        <w:rPr>
          <w:rFonts w:ascii="Times New Roman" w:hAnsi="Times New Roman" w:cs="Times New Roman"/>
          <w:sz w:val="24"/>
          <w:szCs w:val="24"/>
        </w:rPr>
        <w:t>.</w:t>
      </w:r>
      <w:r w:rsidR="00F13C2C">
        <w:rPr>
          <w:rStyle w:val="FootnoteReference"/>
          <w:rFonts w:ascii="Times New Roman" w:hAnsi="Times New Roman" w:cs="Times New Roman"/>
          <w:sz w:val="24"/>
          <w:szCs w:val="24"/>
        </w:rPr>
        <w:footnoteReference w:id="130"/>
      </w:r>
      <w:r w:rsidR="003E5959">
        <w:rPr>
          <w:rFonts w:ascii="Times New Roman" w:hAnsi="Times New Roman" w:cs="Times New Roman"/>
          <w:sz w:val="24"/>
          <w:szCs w:val="24"/>
        </w:rPr>
        <w:t xml:space="preserve"> In fact, many wished for more autonomy within Pakistan rather than outright independence at the war’s outset.</w:t>
      </w:r>
      <w:r w:rsidR="003E5959">
        <w:rPr>
          <w:rStyle w:val="FootnoteReference"/>
          <w:rFonts w:ascii="Times New Roman" w:hAnsi="Times New Roman" w:cs="Times New Roman"/>
          <w:sz w:val="24"/>
          <w:szCs w:val="24"/>
        </w:rPr>
        <w:footnoteReference w:id="131"/>
      </w:r>
      <w:r w:rsidR="00F13C2C">
        <w:rPr>
          <w:rFonts w:ascii="Times New Roman" w:hAnsi="Times New Roman" w:cs="Times New Roman"/>
          <w:sz w:val="24"/>
          <w:szCs w:val="24"/>
        </w:rPr>
        <w:t xml:space="preserve"> Even the BPLF only represented a loose affiliation.</w:t>
      </w:r>
      <w:r w:rsidR="00F13C2C">
        <w:rPr>
          <w:rStyle w:val="FootnoteReference"/>
          <w:rFonts w:ascii="Times New Roman" w:hAnsi="Times New Roman" w:cs="Times New Roman"/>
          <w:sz w:val="24"/>
          <w:szCs w:val="24"/>
        </w:rPr>
        <w:footnoteReference w:id="132"/>
      </w:r>
      <w:r w:rsidR="006A033F">
        <w:rPr>
          <w:rFonts w:ascii="Times New Roman" w:hAnsi="Times New Roman" w:cs="Times New Roman"/>
          <w:sz w:val="24"/>
          <w:szCs w:val="24"/>
        </w:rPr>
        <w:t xml:space="preserve"> It was not until after the war that the independence movement </w:t>
      </w:r>
      <w:r w:rsidR="0023720F">
        <w:rPr>
          <w:rFonts w:ascii="Times New Roman" w:hAnsi="Times New Roman" w:cs="Times New Roman"/>
          <w:sz w:val="24"/>
          <w:szCs w:val="24"/>
        </w:rPr>
        <w:t>began to organize a trans-tribal network to organize its activity.</w:t>
      </w:r>
      <w:r w:rsidR="0023720F">
        <w:rPr>
          <w:rStyle w:val="FootnoteReference"/>
          <w:rFonts w:ascii="Times New Roman" w:hAnsi="Times New Roman" w:cs="Times New Roman"/>
          <w:sz w:val="24"/>
          <w:szCs w:val="24"/>
        </w:rPr>
        <w:footnoteReference w:id="133"/>
      </w:r>
    </w:p>
    <w:p w14:paraId="041D3C40" w14:textId="77777777" w:rsidR="004B1C43" w:rsidRDefault="004B1C43">
      <w:pPr>
        <w:rPr>
          <w:rFonts w:ascii="Times New Roman" w:hAnsi="Times New Roman" w:cs="Times New Roman"/>
          <w:sz w:val="24"/>
          <w:szCs w:val="24"/>
        </w:rPr>
      </w:pPr>
      <w:r>
        <w:rPr>
          <w:rFonts w:ascii="Times New Roman" w:hAnsi="Times New Roman" w:cs="Times New Roman"/>
          <w:sz w:val="24"/>
          <w:szCs w:val="24"/>
        </w:rPr>
        <w:tab/>
        <w:t xml:space="preserve">This is somewhat surprising given the </w:t>
      </w:r>
      <w:r w:rsidR="002B19AA">
        <w:rPr>
          <w:rFonts w:ascii="Times New Roman" w:hAnsi="Times New Roman" w:cs="Times New Roman"/>
          <w:sz w:val="24"/>
          <w:szCs w:val="24"/>
        </w:rPr>
        <w:t>growing provision of goods in the 1960s.</w:t>
      </w:r>
      <w:r w:rsidR="002B19AA">
        <w:rPr>
          <w:rStyle w:val="FootnoteReference"/>
          <w:rFonts w:ascii="Times New Roman" w:hAnsi="Times New Roman" w:cs="Times New Roman"/>
          <w:sz w:val="24"/>
          <w:szCs w:val="24"/>
        </w:rPr>
        <w:footnoteReference w:id="134"/>
      </w:r>
      <w:r w:rsidR="002B19AA">
        <w:rPr>
          <w:rFonts w:ascii="Times New Roman" w:hAnsi="Times New Roman" w:cs="Times New Roman"/>
          <w:sz w:val="24"/>
          <w:szCs w:val="24"/>
        </w:rPr>
        <w:t xml:space="preserve"> However, the accounts of the conflict make no mention of attempts to govern or continue providing goods during the 1970s.</w:t>
      </w:r>
      <w:r w:rsidR="002B19AA">
        <w:rPr>
          <w:rStyle w:val="FootnoteReference"/>
          <w:rFonts w:ascii="Times New Roman" w:hAnsi="Times New Roman" w:cs="Times New Roman"/>
          <w:sz w:val="24"/>
          <w:szCs w:val="24"/>
        </w:rPr>
        <w:footnoteReference w:id="135"/>
      </w:r>
      <w:r w:rsidR="00D955FA">
        <w:rPr>
          <w:rFonts w:ascii="Times New Roman" w:hAnsi="Times New Roman" w:cs="Times New Roman"/>
          <w:sz w:val="24"/>
          <w:szCs w:val="24"/>
        </w:rPr>
        <w:t xml:space="preserve"> Moreover, a survey of Baluchistan’s public goods provision conducted after the war found few facilities, particularly where healthcare was concerned.</w:t>
      </w:r>
      <w:r w:rsidR="00D955FA">
        <w:rPr>
          <w:rStyle w:val="FootnoteReference"/>
          <w:rFonts w:ascii="Times New Roman" w:hAnsi="Times New Roman" w:cs="Times New Roman"/>
          <w:sz w:val="24"/>
          <w:szCs w:val="24"/>
        </w:rPr>
        <w:footnoteReference w:id="136"/>
      </w:r>
      <w:r w:rsidR="002B19AA">
        <w:rPr>
          <w:rFonts w:ascii="Times New Roman" w:hAnsi="Times New Roman" w:cs="Times New Roman"/>
          <w:sz w:val="24"/>
          <w:szCs w:val="24"/>
        </w:rPr>
        <w:t xml:space="preserve"> There is even mention that despite the nominal Marxist perspective of the BPLF, the group opposed radical changes to Baluch society or even political education.</w:t>
      </w:r>
      <w:r w:rsidR="002B19AA">
        <w:rPr>
          <w:rStyle w:val="FootnoteReference"/>
          <w:rFonts w:ascii="Times New Roman" w:hAnsi="Times New Roman" w:cs="Times New Roman"/>
          <w:sz w:val="24"/>
          <w:szCs w:val="24"/>
        </w:rPr>
        <w:footnoteReference w:id="137"/>
      </w:r>
      <w:r w:rsidR="002B19AA">
        <w:rPr>
          <w:rFonts w:ascii="Times New Roman" w:hAnsi="Times New Roman" w:cs="Times New Roman"/>
          <w:sz w:val="24"/>
          <w:szCs w:val="24"/>
        </w:rPr>
        <w:t xml:space="preserve">  </w:t>
      </w:r>
    </w:p>
    <w:p w14:paraId="709D23E9" w14:textId="77777777" w:rsidR="0054390C" w:rsidRDefault="0054390C">
      <w:pPr>
        <w:rPr>
          <w:rFonts w:ascii="Times New Roman" w:hAnsi="Times New Roman" w:cs="Times New Roman"/>
          <w:b/>
          <w:sz w:val="24"/>
          <w:szCs w:val="24"/>
        </w:rPr>
      </w:pPr>
      <w:r>
        <w:rPr>
          <w:rFonts w:ascii="Times New Roman" w:hAnsi="Times New Roman" w:cs="Times New Roman"/>
          <w:b/>
          <w:sz w:val="24"/>
          <w:szCs w:val="24"/>
        </w:rPr>
        <w:lastRenderedPageBreak/>
        <w:t>Sri Lanka (1971)</w:t>
      </w:r>
    </w:p>
    <w:p w14:paraId="5777987B" w14:textId="77777777" w:rsidR="0054390C" w:rsidRDefault="0054390C" w:rsidP="0054390C">
      <w:pPr>
        <w:rPr>
          <w:rFonts w:ascii="Times New Roman" w:hAnsi="Times New Roman" w:cs="Times New Roman"/>
          <w:sz w:val="24"/>
          <w:szCs w:val="24"/>
        </w:rPr>
      </w:pPr>
      <w:r>
        <w:rPr>
          <w:rFonts w:ascii="Times New Roman" w:hAnsi="Times New Roman" w:cs="Times New Roman"/>
          <w:sz w:val="24"/>
          <w:szCs w:val="24"/>
        </w:rPr>
        <w:t xml:space="preserve">Rebels / Incumbents: </w:t>
      </w:r>
      <w:r w:rsidR="00C854C6">
        <w:rPr>
          <w:rFonts w:ascii="Times New Roman" w:hAnsi="Times New Roman" w:cs="Times New Roman"/>
          <w:sz w:val="24"/>
          <w:szCs w:val="24"/>
        </w:rPr>
        <w:t>People’s Liberation Front (JVP) / Ceylon</w:t>
      </w:r>
    </w:p>
    <w:p w14:paraId="222183D2" w14:textId="77777777" w:rsidR="0054390C" w:rsidRDefault="0054390C" w:rsidP="0054390C">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601987">
        <w:rPr>
          <w:rFonts w:ascii="Times New Roman" w:hAnsi="Times New Roman" w:cs="Times New Roman"/>
          <w:b/>
          <w:sz w:val="24"/>
          <w:szCs w:val="24"/>
        </w:rPr>
        <w:t>0</w:t>
      </w:r>
      <w:r w:rsidRPr="00F62BA4">
        <w:rPr>
          <w:rFonts w:ascii="Times New Roman" w:hAnsi="Times New Roman" w:cs="Times New Roman"/>
          <w:b/>
          <w:sz w:val="24"/>
          <w:szCs w:val="24"/>
        </w:rPr>
        <w:t xml:space="preserve">; Public Goods: </w:t>
      </w:r>
      <w:r w:rsidR="00601987">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601987">
        <w:rPr>
          <w:rFonts w:ascii="Times New Roman" w:hAnsi="Times New Roman" w:cs="Times New Roman"/>
          <w:b/>
          <w:sz w:val="24"/>
          <w:szCs w:val="24"/>
        </w:rPr>
        <w:t xml:space="preserve"> 0</w:t>
      </w:r>
    </w:p>
    <w:p w14:paraId="7ACAE0A8" w14:textId="77777777" w:rsidR="0054390C" w:rsidRDefault="00C854C6">
      <w:pPr>
        <w:rPr>
          <w:rFonts w:ascii="Times New Roman" w:hAnsi="Times New Roman" w:cs="Times New Roman"/>
          <w:sz w:val="24"/>
          <w:szCs w:val="24"/>
        </w:rPr>
      </w:pPr>
      <w:r>
        <w:rPr>
          <w:rFonts w:ascii="Times New Roman" w:hAnsi="Times New Roman" w:cs="Times New Roman"/>
          <w:sz w:val="24"/>
          <w:szCs w:val="24"/>
        </w:rPr>
        <w:tab/>
      </w:r>
      <w:r w:rsidR="002B410F">
        <w:rPr>
          <w:rFonts w:ascii="Times New Roman" w:hAnsi="Times New Roman" w:cs="Times New Roman"/>
          <w:sz w:val="24"/>
          <w:szCs w:val="24"/>
        </w:rPr>
        <w:t>The JVP was founded in 1965, when a group of leftist youths bemoaned the lack of a “pure Marxist revolutionary party” and so endeavored to make one to mobilize the masses.</w:t>
      </w:r>
      <w:r w:rsidR="002B410F">
        <w:rPr>
          <w:rStyle w:val="FootnoteReference"/>
          <w:rFonts w:ascii="Times New Roman" w:hAnsi="Times New Roman" w:cs="Times New Roman"/>
          <w:sz w:val="24"/>
          <w:szCs w:val="24"/>
        </w:rPr>
        <w:footnoteReference w:id="138"/>
      </w:r>
      <w:r w:rsidR="002B410F">
        <w:rPr>
          <w:rFonts w:ascii="Times New Roman" w:hAnsi="Times New Roman" w:cs="Times New Roman"/>
          <w:sz w:val="24"/>
          <w:szCs w:val="24"/>
        </w:rPr>
        <w:t xml:space="preserve"> Criticism of their rhetoric from a Marxist standpoint notwithstanding,</w:t>
      </w:r>
      <w:r w:rsidR="002B410F">
        <w:rPr>
          <w:rStyle w:val="FootnoteReference"/>
          <w:rFonts w:ascii="Times New Roman" w:hAnsi="Times New Roman" w:cs="Times New Roman"/>
          <w:sz w:val="24"/>
          <w:szCs w:val="24"/>
        </w:rPr>
        <w:footnoteReference w:id="139"/>
      </w:r>
      <w:r w:rsidR="002B410F">
        <w:rPr>
          <w:rFonts w:ascii="Times New Roman" w:hAnsi="Times New Roman" w:cs="Times New Roman"/>
          <w:sz w:val="24"/>
          <w:szCs w:val="24"/>
        </w:rPr>
        <w:t xml:space="preserve"> the group had a substantial following by 1970, when the group opted to contest elections. Disappointed by the slow pace of political change, they then opted for a more radical strategy.</w:t>
      </w:r>
      <w:r w:rsidR="002B410F">
        <w:rPr>
          <w:rStyle w:val="FootnoteReference"/>
          <w:rFonts w:ascii="Times New Roman" w:hAnsi="Times New Roman" w:cs="Times New Roman"/>
          <w:sz w:val="24"/>
          <w:szCs w:val="24"/>
        </w:rPr>
        <w:footnoteReference w:id="140"/>
      </w:r>
    </w:p>
    <w:p w14:paraId="54199746" w14:textId="77777777" w:rsidR="00DA1005" w:rsidRDefault="004D6989" w:rsidP="00601987">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April of 1971, </w:t>
      </w:r>
      <w:r w:rsidR="00240982">
        <w:rPr>
          <w:rFonts w:ascii="Times New Roman" w:hAnsi="Times New Roman" w:cs="Times New Roman"/>
          <w:sz w:val="24"/>
          <w:szCs w:val="24"/>
        </w:rPr>
        <w:t>JVP began a nationwide uprising, attacking police stations and cutting electricity and communication lines along the way.</w:t>
      </w:r>
      <w:r w:rsidR="00240982">
        <w:rPr>
          <w:rStyle w:val="FootnoteReference"/>
          <w:rFonts w:ascii="Times New Roman" w:hAnsi="Times New Roman" w:cs="Times New Roman"/>
          <w:sz w:val="24"/>
          <w:szCs w:val="24"/>
        </w:rPr>
        <w:footnoteReference w:id="141"/>
      </w:r>
      <w:r w:rsidR="00240982">
        <w:rPr>
          <w:rFonts w:ascii="Times New Roman" w:hAnsi="Times New Roman" w:cs="Times New Roman"/>
          <w:sz w:val="24"/>
          <w:szCs w:val="24"/>
        </w:rPr>
        <w:t xml:space="preserve"> Within weeks, the insurgency was subdued,</w:t>
      </w:r>
      <w:r w:rsidR="00DA1005" w:rsidRPr="00DA1005">
        <w:rPr>
          <w:rStyle w:val="FootnoteReference"/>
          <w:rFonts w:ascii="Times New Roman" w:hAnsi="Times New Roman" w:cs="Times New Roman"/>
          <w:sz w:val="24"/>
          <w:szCs w:val="24"/>
        </w:rPr>
        <w:t xml:space="preserve"> </w:t>
      </w:r>
      <w:r w:rsidR="00DA1005">
        <w:rPr>
          <w:rStyle w:val="FootnoteReference"/>
          <w:rFonts w:ascii="Times New Roman" w:hAnsi="Times New Roman" w:cs="Times New Roman"/>
          <w:sz w:val="24"/>
          <w:szCs w:val="24"/>
        </w:rPr>
        <w:footnoteReference w:id="142"/>
      </w:r>
      <w:r w:rsidR="00240982">
        <w:rPr>
          <w:rFonts w:ascii="Times New Roman" w:hAnsi="Times New Roman" w:cs="Times New Roman"/>
          <w:sz w:val="24"/>
          <w:szCs w:val="24"/>
        </w:rPr>
        <w:t xml:space="preserve"> but </w:t>
      </w:r>
      <w:r w:rsidR="00BD7B33">
        <w:rPr>
          <w:rFonts w:ascii="Times New Roman" w:hAnsi="Times New Roman" w:cs="Times New Roman"/>
          <w:sz w:val="24"/>
          <w:szCs w:val="24"/>
        </w:rPr>
        <w:t>some argue that it lingered on for</w:t>
      </w:r>
      <w:r w:rsidR="00240982">
        <w:rPr>
          <w:rFonts w:ascii="Times New Roman" w:hAnsi="Times New Roman" w:cs="Times New Roman"/>
          <w:sz w:val="24"/>
          <w:szCs w:val="24"/>
        </w:rPr>
        <w:t xml:space="preserve"> months.</w:t>
      </w:r>
      <w:r w:rsidR="00DA1005">
        <w:rPr>
          <w:rStyle w:val="FootnoteReference"/>
          <w:rFonts w:ascii="Times New Roman" w:hAnsi="Times New Roman" w:cs="Times New Roman"/>
          <w:sz w:val="24"/>
          <w:szCs w:val="24"/>
        </w:rPr>
        <w:footnoteReference w:id="143"/>
      </w:r>
      <w:r w:rsidR="008E0C1B">
        <w:rPr>
          <w:rFonts w:ascii="Times New Roman" w:hAnsi="Times New Roman" w:cs="Times New Roman"/>
          <w:sz w:val="24"/>
          <w:szCs w:val="24"/>
        </w:rPr>
        <w:t xml:space="preserve"> Save the first </w:t>
      </w:r>
      <w:r w:rsidR="00BD7B33">
        <w:rPr>
          <w:rFonts w:ascii="Times New Roman" w:hAnsi="Times New Roman" w:cs="Times New Roman"/>
          <w:sz w:val="24"/>
          <w:szCs w:val="24"/>
        </w:rPr>
        <w:t>few</w:t>
      </w:r>
      <w:r w:rsidR="008E0C1B">
        <w:rPr>
          <w:rFonts w:ascii="Times New Roman" w:hAnsi="Times New Roman" w:cs="Times New Roman"/>
          <w:sz w:val="24"/>
          <w:szCs w:val="24"/>
        </w:rPr>
        <w:t xml:space="preserve"> weeks, though, it appears that the group did not control any substantial territory.</w:t>
      </w:r>
      <w:r w:rsidR="008E0C1B">
        <w:rPr>
          <w:rStyle w:val="FootnoteReference"/>
          <w:rFonts w:ascii="Times New Roman" w:hAnsi="Times New Roman" w:cs="Times New Roman"/>
          <w:sz w:val="24"/>
          <w:szCs w:val="24"/>
        </w:rPr>
        <w:footnoteReference w:id="144"/>
      </w:r>
      <w:r w:rsidR="00DC2841">
        <w:rPr>
          <w:rFonts w:ascii="Times New Roman" w:hAnsi="Times New Roman" w:cs="Times New Roman"/>
          <w:sz w:val="24"/>
          <w:szCs w:val="24"/>
        </w:rPr>
        <w:t xml:space="preserve"> The brevity of the conflict </w:t>
      </w:r>
      <w:r w:rsidR="00B86563">
        <w:rPr>
          <w:rFonts w:ascii="Times New Roman" w:hAnsi="Times New Roman" w:cs="Times New Roman"/>
          <w:sz w:val="24"/>
          <w:szCs w:val="24"/>
        </w:rPr>
        <w:t>along with a lack of popular input</w:t>
      </w:r>
      <w:r w:rsidR="00B86563">
        <w:rPr>
          <w:rStyle w:val="FootnoteReference"/>
          <w:rFonts w:ascii="Times New Roman" w:hAnsi="Times New Roman" w:cs="Times New Roman"/>
          <w:sz w:val="24"/>
          <w:szCs w:val="24"/>
        </w:rPr>
        <w:footnoteReference w:id="145"/>
      </w:r>
      <w:r w:rsidR="00B86563">
        <w:rPr>
          <w:rFonts w:ascii="Times New Roman" w:hAnsi="Times New Roman" w:cs="Times New Roman"/>
          <w:sz w:val="24"/>
          <w:szCs w:val="24"/>
        </w:rPr>
        <w:t xml:space="preserve"> (or even members of the group’s leadership who did not belong to the group’s leader</w:t>
      </w:r>
      <w:r w:rsidR="00B86563" w:rsidRPr="00B86563">
        <w:rPr>
          <w:rFonts w:ascii="Times New Roman" w:hAnsi="Times New Roman" w:cs="Times New Roman"/>
          <w:sz w:val="24"/>
          <w:szCs w:val="24"/>
        </w:rPr>
        <w:t xml:space="preserve"> </w:t>
      </w:r>
      <w:proofErr w:type="spellStart"/>
      <w:r w:rsidR="00B86563" w:rsidRPr="00B86563">
        <w:rPr>
          <w:rFonts w:ascii="Times New Roman" w:hAnsi="Times New Roman" w:cs="Times New Roman"/>
          <w:sz w:val="24"/>
          <w:szCs w:val="24"/>
        </w:rPr>
        <w:t>Rohana</w:t>
      </w:r>
      <w:proofErr w:type="spellEnd"/>
      <w:r w:rsidR="00B86563" w:rsidRPr="00B86563">
        <w:rPr>
          <w:rFonts w:ascii="Times New Roman" w:hAnsi="Times New Roman" w:cs="Times New Roman"/>
          <w:sz w:val="24"/>
          <w:szCs w:val="24"/>
        </w:rPr>
        <w:t xml:space="preserve"> </w:t>
      </w:r>
      <w:proofErr w:type="spellStart"/>
      <w:r w:rsidR="00B86563" w:rsidRPr="00B86563">
        <w:rPr>
          <w:rFonts w:ascii="Times New Roman" w:hAnsi="Times New Roman" w:cs="Times New Roman"/>
          <w:sz w:val="24"/>
          <w:szCs w:val="24"/>
        </w:rPr>
        <w:t>Wijeweera</w:t>
      </w:r>
      <w:r w:rsidR="00B86563">
        <w:rPr>
          <w:rFonts w:ascii="Times New Roman" w:hAnsi="Times New Roman" w:cs="Times New Roman"/>
          <w:sz w:val="24"/>
          <w:szCs w:val="24"/>
        </w:rPr>
        <w:t>’s</w:t>
      </w:r>
      <w:proofErr w:type="spellEnd"/>
      <w:r w:rsidR="00B86563">
        <w:rPr>
          <w:rFonts w:ascii="Times New Roman" w:hAnsi="Times New Roman" w:cs="Times New Roman"/>
          <w:sz w:val="24"/>
          <w:szCs w:val="24"/>
        </w:rPr>
        <w:t xml:space="preserve"> caste) meant that the group struggled to garner popular legitimacy</w:t>
      </w:r>
      <w:r w:rsidR="006961C5">
        <w:rPr>
          <w:rFonts w:ascii="Times New Roman" w:hAnsi="Times New Roman" w:cs="Times New Roman"/>
          <w:sz w:val="24"/>
          <w:szCs w:val="24"/>
        </w:rPr>
        <w:t xml:space="preserve"> before the movement was crushed</w:t>
      </w:r>
      <w:r w:rsidR="00B86563">
        <w:rPr>
          <w:rFonts w:ascii="Times New Roman" w:hAnsi="Times New Roman" w:cs="Times New Roman"/>
          <w:sz w:val="24"/>
          <w:szCs w:val="24"/>
        </w:rPr>
        <w:t>.</w:t>
      </w:r>
      <w:r w:rsidR="00B86563">
        <w:rPr>
          <w:rStyle w:val="FootnoteReference"/>
          <w:rFonts w:ascii="Times New Roman" w:hAnsi="Times New Roman" w:cs="Times New Roman"/>
          <w:sz w:val="24"/>
          <w:szCs w:val="24"/>
        </w:rPr>
        <w:footnoteReference w:id="146"/>
      </w:r>
    </w:p>
    <w:p w14:paraId="74CD3736" w14:textId="77777777" w:rsidR="0054390C" w:rsidRDefault="0054390C">
      <w:pPr>
        <w:rPr>
          <w:rFonts w:ascii="Times New Roman" w:hAnsi="Times New Roman" w:cs="Times New Roman"/>
          <w:b/>
          <w:sz w:val="24"/>
          <w:szCs w:val="24"/>
        </w:rPr>
      </w:pPr>
      <w:r>
        <w:rPr>
          <w:rFonts w:ascii="Times New Roman" w:hAnsi="Times New Roman" w:cs="Times New Roman"/>
          <w:b/>
          <w:sz w:val="24"/>
          <w:szCs w:val="24"/>
        </w:rPr>
        <w:t>Sudan (1963-1972)</w:t>
      </w:r>
    </w:p>
    <w:p w14:paraId="7FCC0A33" w14:textId="77777777" w:rsidR="0054390C" w:rsidRDefault="0054390C" w:rsidP="0054390C">
      <w:pPr>
        <w:rPr>
          <w:rFonts w:ascii="Times New Roman" w:hAnsi="Times New Roman" w:cs="Times New Roman"/>
          <w:sz w:val="24"/>
          <w:szCs w:val="24"/>
        </w:rPr>
      </w:pPr>
      <w:r>
        <w:rPr>
          <w:rFonts w:ascii="Times New Roman" w:hAnsi="Times New Roman" w:cs="Times New Roman"/>
          <w:sz w:val="24"/>
          <w:szCs w:val="24"/>
        </w:rPr>
        <w:t xml:space="preserve">Rebels / Incumbents: </w:t>
      </w:r>
      <w:r w:rsidR="00DE5A7E">
        <w:rPr>
          <w:rFonts w:ascii="Times New Roman" w:hAnsi="Times New Roman" w:cs="Times New Roman"/>
          <w:sz w:val="24"/>
          <w:szCs w:val="24"/>
        </w:rPr>
        <w:t>Anya Nya</w:t>
      </w:r>
      <w:r w:rsidR="00D021AA">
        <w:rPr>
          <w:rFonts w:ascii="Times New Roman" w:hAnsi="Times New Roman" w:cs="Times New Roman"/>
          <w:sz w:val="24"/>
          <w:szCs w:val="24"/>
        </w:rPr>
        <w:t>, Azania Liberation Front (ALF) / Sudan</w:t>
      </w:r>
    </w:p>
    <w:p w14:paraId="51B042D5" w14:textId="7F273592" w:rsidR="0054390C" w:rsidRDefault="0054390C" w:rsidP="0054390C">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3D3C3F">
        <w:rPr>
          <w:rFonts w:ascii="Times New Roman" w:hAnsi="Times New Roman" w:cs="Times New Roman"/>
          <w:b/>
          <w:sz w:val="24"/>
          <w:szCs w:val="24"/>
        </w:rPr>
        <w:t>2</w:t>
      </w:r>
      <w:r w:rsidRPr="00F62BA4">
        <w:rPr>
          <w:rFonts w:ascii="Times New Roman" w:hAnsi="Times New Roman" w:cs="Times New Roman"/>
          <w:b/>
          <w:sz w:val="24"/>
          <w:szCs w:val="24"/>
        </w:rPr>
        <w:t xml:space="preserve">; Public Goods: </w:t>
      </w:r>
      <w:r w:rsidR="0037570D">
        <w:rPr>
          <w:rFonts w:ascii="Times New Roman" w:hAnsi="Times New Roman" w:cs="Times New Roman"/>
          <w:b/>
          <w:sz w:val="24"/>
          <w:szCs w:val="24"/>
        </w:rPr>
        <w:t>1</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37570D">
        <w:rPr>
          <w:rFonts w:ascii="Times New Roman" w:hAnsi="Times New Roman" w:cs="Times New Roman"/>
          <w:b/>
          <w:sz w:val="24"/>
          <w:szCs w:val="24"/>
        </w:rPr>
        <w:t xml:space="preserve"> 1</w:t>
      </w:r>
    </w:p>
    <w:p w14:paraId="7200CC67" w14:textId="77777777" w:rsidR="0054390C" w:rsidRDefault="00D021AA">
      <w:pPr>
        <w:rPr>
          <w:rFonts w:ascii="Times New Roman" w:hAnsi="Times New Roman" w:cs="Times New Roman"/>
          <w:sz w:val="24"/>
          <w:szCs w:val="24"/>
        </w:rPr>
      </w:pPr>
      <w:r>
        <w:rPr>
          <w:rFonts w:ascii="Times New Roman" w:hAnsi="Times New Roman" w:cs="Times New Roman"/>
          <w:sz w:val="24"/>
          <w:szCs w:val="24"/>
        </w:rPr>
        <w:tab/>
        <w:t xml:space="preserve">The first Sudanese civil war has its roots in a 1955 mutiny of Southern soldiers against the </w:t>
      </w:r>
      <w:r w:rsidR="008D2E27">
        <w:rPr>
          <w:rFonts w:ascii="Times New Roman" w:hAnsi="Times New Roman" w:cs="Times New Roman"/>
          <w:sz w:val="24"/>
          <w:szCs w:val="24"/>
        </w:rPr>
        <w:t xml:space="preserve">still coalescing power in the north and the effects of </w:t>
      </w:r>
      <w:r w:rsidR="00F92B47">
        <w:rPr>
          <w:rFonts w:ascii="Times New Roman" w:hAnsi="Times New Roman" w:cs="Times New Roman"/>
          <w:sz w:val="24"/>
          <w:szCs w:val="24"/>
        </w:rPr>
        <w:t>the transition to post-colonial Sudan</w:t>
      </w:r>
      <w:r w:rsidR="008D2E27">
        <w:rPr>
          <w:rFonts w:ascii="Times New Roman" w:hAnsi="Times New Roman" w:cs="Times New Roman"/>
          <w:sz w:val="24"/>
          <w:szCs w:val="24"/>
        </w:rPr>
        <w:t>.</w:t>
      </w:r>
      <w:r w:rsidR="008D2E27">
        <w:rPr>
          <w:rStyle w:val="FootnoteReference"/>
          <w:rFonts w:ascii="Times New Roman" w:hAnsi="Times New Roman" w:cs="Times New Roman"/>
          <w:sz w:val="24"/>
          <w:szCs w:val="24"/>
        </w:rPr>
        <w:footnoteReference w:id="147"/>
      </w:r>
      <w:r w:rsidR="008D2E27">
        <w:rPr>
          <w:rFonts w:ascii="Times New Roman" w:hAnsi="Times New Roman" w:cs="Times New Roman"/>
          <w:sz w:val="24"/>
          <w:szCs w:val="24"/>
        </w:rPr>
        <w:t xml:space="preserve"> For almost a decade, the conflict continued at extremely low levels, with largely disorganized rebels relying on theft for materiel and limited to ambushes of police and locally stationed soldiers operationally.</w:t>
      </w:r>
      <w:r w:rsidR="008D2E27">
        <w:rPr>
          <w:rStyle w:val="FootnoteReference"/>
          <w:rFonts w:ascii="Times New Roman" w:hAnsi="Times New Roman" w:cs="Times New Roman"/>
          <w:sz w:val="24"/>
          <w:szCs w:val="24"/>
        </w:rPr>
        <w:footnoteReference w:id="148"/>
      </w:r>
      <w:r w:rsidR="008D2E27">
        <w:rPr>
          <w:rFonts w:ascii="Times New Roman" w:hAnsi="Times New Roman" w:cs="Times New Roman"/>
          <w:sz w:val="24"/>
          <w:szCs w:val="24"/>
        </w:rPr>
        <w:t xml:space="preserve"> It was not until </w:t>
      </w:r>
      <w:r w:rsidR="009E3352">
        <w:rPr>
          <w:rFonts w:ascii="Times New Roman" w:hAnsi="Times New Roman" w:cs="Times New Roman"/>
          <w:sz w:val="24"/>
          <w:szCs w:val="24"/>
        </w:rPr>
        <w:t xml:space="preserve">1963, though, with the founding of the Anya Nya, that the war </w:t>
      </w:r>
      <w:r w:rsidR="00833AFD">
        <w:rPr>
          <w:rFonts w:ascii="Times New Roman" w:hAnsi="Times New Roman" w:cs="Times New Roman"/>
          <w:sz w:val="24"/>
          <w:szCs w:val="24"/>
        </w:rPr>
        <w:t xml:space="preserve">became intense enough to be recognized. </w:t>
      </w:r>
      <w:r w:rsidR="00EA654D">
        <w:rPr>
          <w:rFonts w:ascii="Times New Roman" w:hAnsi="Times New Roman" w:cs="Times New Roman"/>
          <w:sz w:val="24"/>
          <w:szCs w:val="24"/>
        </w:rPr>
        <w:t>In the beginning, b</w:t>
      </w:r>
      <w:r w:rsidR="00833AFD">
        <w:rPr>
          <w:rFonts w:ascii="Times New Roman" w:hAnsi="Times New Roman" w:cs="Times New Roman"/>
          <w:sz w:val="24"/>
          <w:szCs w:val="24"/>
        </w:rPr>
        <w:t xml:space="preserve">eyond this ramping up of </w:t>
      </w:r>
      <w:r w:rsidR="00833AFD">
        <w:rPr>
          <w:rFonts w:ascii="Times New Roman" w:hAnsi="Times New Roman" w:cs="Times New Roman"/>
          <w:sz w:val="24"/>
          <w:szCs w:val="24"/>
        </w:rPr>
        <w:lastRenderedPageBreak/>
        <w:t xml:space="preserve">hostilities, the conflict </w:t>
      </w:r>
      <w:proofErr w:type="gramStart"/>
      <w:r w:rsidR="00833AFD">
        <w:rPr>
          <w:rFonts w:ascii="Times New Roman" w:hAnsi="Times New Roman" w:cs="Times New Roman"/>
          <w:sz w:val="24"/>
          <w:szCs w:val="24"/>
        </w:rPr>
        <w:t>more or less continued</w:t>
      </w:r>
      <w:proofErr w:type="gramEnd"/>
      <w:r w:rsidR="00833AFD">
        <w:rPr>
          <w:rFonts w:ascii="Times New Roman" w:hAnsi="Times New Roman" w:cs="Times New Roman"/>
          <w:sz w:val="24"/>
          <w:szCs w:val="24"/>
        </w:rPr>
        <w:t xml:space="preserve"> as it had,</w:t>
      </w:r>
      <w:r w:rsidR="00833AFD">
        <w:rPr>
          <w:rStyle w:val="FootnoteReference"/>
          <w:rFonts w:ascii="Times New Roman" w:hAnsi="Times New Roman" w:cs="Times New Roman"/>
          <w:sz w:val="24"/>
          <w:szCs w:val="24"/>
        </w:rPr>
        <w:footnoteReference w:id="149"/>
      </w:r>
      <w:r w:rsidR="00833AFD">
        <w:rPr>
          <w:rFonts w:ascii="Times New Roman" w:hAnsi="Times New Roman" w:cs="Times New Roman"/>
          <w:sz w:val="24"/>
          <w:szCs w:val="24"/>
        </w:rPr>
        <w:t xml:space="preserve"> with more frequent attacks on police and military personnel in the South under the command of General </w:t>
      </w:r>
      <w:proofErr w:type="spellStart"/>
      <w:r w:rsidR="00833AFD">
        <w:rPr>
          <w:rFonts w:ascii="Times New Roman" w:hAnsi="Times New Roman" w:cs="Times New Roman"/>
          <w:sz w:val="24"/>
          <w:szCs w:val="24"/>
        </w:rPr>
        <w:t>Taffeng</w:t>
      </w:r>
      <w:proofErr w:type="spellEnd"/>
      <w:r w:rsidR="00833AFD">
        <w:rPr>
          <w:rFonts w:ascii="Times New Roman" w:hAnsi="Times New Roman" w:cs="Times New Roman"/>
          <w:sz w:val="24"/>
          <w:szCs w:val="24"/>
        </w:rPr>
        <w:t xml:space="preserve"> and the newly christened Anya Nya banner.</w:t>
      </w:r>
      <w:r w:rsidR="00833AFD">
        <w:rPr>
          <w:rStyle w:val="FootnoteReference"/>
          <w:rFonts w:ascii="Times New Roman" w:hAnsi="Times New Roman" w:cs="Times New Roman"/>
          <w:sz w:val="24"/>
          <w:szCs w:val="24"/>
        </w:rPr>
        <w:footnoteReference w:id="150"/>
      </w:r>
      <w:r w:rsidR="00833AFD">
        <w:rPr>
          <w:rFonts w:ascii="Times New Roman" w:hAnsi="Times New Roman" w:cs="Times New Roman"/>
          <w:sz w:val="24"/>
          <w:szCs w:val="24"/>
        </w:rPr>
        <w:t xml:space="preserve"> </w:t>
      </w:r>
      <w:r w:rsidR="00EA654D">
        <w:rPr>
          <w:rFonts w:ascii="Times New Roman" w:hAnsi="Times New Roman" w:cs="Times New Roman"/>
          <w:sz w:val="24"/>
          <w:szCs w:val="24"/>
        </w:rPr>
        <w:t>However, by 1964, Anya Nya were attempting to capture entire towns.</w:t>
      </w:r>
      <w:r w:rsidR="00EA654D">
        <w:rPr>
          <w:rStyle w:val="FootnoteReference"/>
          <w:rFonts w:ascii="Times New Roman" w:hAnsi="Times New Roman" w:cs="Times New Roman"/>
          <w:sz w:val="24"/>
          <w:szCs w:val="24"/>
        </w:rPr>
        <w:footnoteReference w:id="151"/>
      </w:r>
    </w:p>
    <w:p w14:paraId="23AE8242" w14:textId="5F3778D9" w:rsidR="00D045D4" w:rsidRDefault="00EA654D">
      <w:pPr>
        <w:rPr>
          <w:rFonts w:ascii="Times New Roman" w:hAnsi="Times New Roman" w:cs="Times New Roman"/>
          <w:sz w:val="24"/>
          <w:szCs w:val="24"/>
        </w:rPr>
      </w:pPr>
      <w:r>
        <w:rPr>
          <w:rFonts w:ascii="Times New Roman" w:hAnsi="Times New Roman" w:cs="Times New Roman"/>
          <w:sz w:val="24"/>
          <w:szCs w:val="24"/>
        </w:rPr>
        <w:tab/>
      </w:r>
      <w:r w:rsidR="00F92B47">
        <w:rPr>
          <w:rFonts w:ascii="Times New Roman" w:hAnsi="Times New Roman" w:cs="Times New Roman"/>
          <w:sz w:val="24"/>
          <w:szCs w:val="24"/>
        </w:rPr>
        <w:t xml:space="preserve">One </w:t>
      </w:r>
      <w:r w:rsidR="00D045D4">
        <w:rPr>
          <w:rFonts w:ascii="Times New Roman" w:hAnsi="Times New Roman" w:cs="Times New Roman"/>
          <w:sz w:val="24"/>
          <w:szCs w:val="24"/>
        </w:rPr>
        <w:t>substantial political development from the time was the proposal for the establishment of the Southern Sudan Provisional Government (SSPG). Besides an extensive ministerial staff to make policy on health, juridical, and educational matters (to name a few), it also included provisions empowering local chiefs and organizing elected councils at the regional and provincial levels.</w:t>
      </w:r>
      <w:r w:rsidR="00D045D4">
        <w:rPr>
          <w:rStyle w:val="FootnoteReference"/>
          <w:rFonts w:ascii="Times New Roman" w:hAnsi="Times New Roman" w:cs="Times New Roman"/>
          <w:sz w:val="24"/>
          <w:szCs w:val="24"/>
        </w:rPr>
        <w:footnoteReference w:id="152"/>
      </w:r>
      <w:r w:rsidR="00D045D4">
        <w:rPr>
          <w:rFonts w:ascii="Times New Roman" w:hAnsi="Times New Roman" w:cs="Times New Roman"/>
          <w:sz w:val="24"/>
          <w:szCs w:val="24"/>
        </w:rPr>
        <w:t xml:space="preserve"> </w:t>
      </w:r>
      <w:r w:rsidR="00043E42">
        <w:rPr>
          <w:rFonts w:ascii="Times New Roman" w:hAnsi="Times New Roman" w:cs="Times New Roman"/>
          <w:sz w:val="24"/>
          <w:szCs w:val="24"/>
        </w:rPr>
        <w:t xml:space="preserve">Although some of these proposals were </w:t>
      </w:r>
      <w:proofErr w:type="gramStart"/>
      <w:r w:rsidR="00043E42">
        <w:rPr>
          <w:rFonts w:ascii="Times New Roman" w:hAnsi="Times New Roman" w:cs="Times New Roman"/>
          <w:sz w:val="24"/>
          <w:szCs w:val="24"/>
        </w:rPr>
        <w:t>actually into</w:t>
      </w:r>
      <w:proofErr w:type="gramEnd"/>
      <w:r w:rsidR="00043E42">
        <w:rPr>
          <w:rFonts w:ascii="Times New Roman" w:hAnsi="Times New Roman" w:cs="Times New Roman"/>
          <w:sz w:val="24"/>
          <w:szCs w:val="24"/>
        </w:rPr>
        <w:t xml:space="preserve"> practice,</w:t>
      </w:r>
      <w:r w:rsidR="00043E42">
        <w:rPr>
          <w:rStyle w:val="FootnoteReference"/>
          <w:rFonts w:ascii="Times New Roman" w:hAnsi="Times New Roman" w:cs="Times New Roman"/>
          <w:sz w:val="24"/>
          <w:szCs w:val="24"/>
        </w:rPr>
        <w:footnoteReference w:id="153"/>
      </w:r>
      <w:r w:rsidR="00043E42">
        <w:rPr>
          <w:rFonts w:ascii="Times New Roman" w:hAnsi="Times New Roman" w:cs="Times New Roman"/>
          <w:sz w:val="24"/>
          <w:szCs w:val="24"/>
        </w:rPr>
        <w:t xml:space="preserve"> the project was ultimately a failure. While seen as a means of bringing the </w:t>
      </w:r>
      <w:r w:rsidR="00F72759">
        <w:rPr>
          <w:rFonts w:ascii="Times New Roman" w:hAnsi="Times New Roman" w:cs="Times New Roman"/>
          <w:sz w:val="24"/>
          <w:szCs w:val="24"/>
        </w:rPr>
        <w:t>purely political Sudan African National Union and the combatant Anya Nya into concert with one another</w:t>
      </w:r>
      <w:r w:rsidR="00043E42">
        <w:rPr>
          <w:rFonts w:ascii="Times New Roman" w:hAnsi="Times New Roman" w:cs="Times New Roman"/>
          <w:sz w:val="24"/>
          <w:szCs w:val="24"/>
        </w:rPr>
        <w:t xml:space="preserve">, it was riven by internal rivalries from the beginning in </w:t>
      </w:r>
      <w:r>
        <w:rPr>
          <w:rFonts w:ascii="Times New Roman" w:hAnsi="Times New Roman" w:cs="Times New Roman"/>
          <w:sz w:val="24"/>
          <w:szCs w:val="24"/>
        </w:rPr>
        <w:t>August of 1967 and had little sway over the Anya Nya rebels.</w:t>
      </w:r>
      <w:r>
        <w:rPr>
          <w:rStyle w:val="FootnoteReference"/>
          <w:rFonts w:ascii="Times New Roman" w:hAnsi="Times New Roman" w:cs="Times New Roman"/>
          <w:sz w:val="24"/>
          <w:szCs w:val="24"/>
        </w:rPr>
        <w:footnoteReference w:id="154"/>
      </w:r>
    </w:p>
    <w:p w14:paraId="78C7D4BF" w14:textId="77777777" w:rsidR="0037570D" w:rsidRDefault="00EA654D">
      <w:pPr>
        <w:rPr>
          <w:rFonts w:ascii="Times New Roman" w:hAnsi="Times New Roman" w:cs="Times New Roman"/>
          <w:sz w:val="24"/>
          <w:szCs w:val="24"/>
        </w:rPr>
      </w:pPr>
      <w:r>
        <w:rPr>
          <w:rFonts w:ascii="Times New Roman" w:hAnsi="Times New Roman" w:cs="Times New Roman"/>
          <w:sz w:val="24"/>
          <w:szCs w:val="24"/>
        </w:rPr>
        <w:tab/>
      </w:r>
      <w:r w:rsidR="00BD534A">
        <w:rPr>
          <w:rFonts w:ascii="Times New Roman" w:hAnsi="Times New Roman" w:cs="Times New Roman"/>
          <w:sz w:val="24"/>
          <w:szCs w:val="24"/>
        </w:rPr>
        <w:t>The</w:t>
      </w:r>
      <w:r>
        <w:rPr>
          <w:rFonts w:ascii="Times New Roman" w:hAnsi="Times New Roman" w:cs="Times New Roman"/>
          <w:sz w:val="24"/>
          <w:szCs w:val="24"/>
        </w:rPr>
        <w:t xml:space="preserve"> SSPG did have</w:t>
      </w:r>
      <w:r w:rsidR="00BD534A">
        <w:rPr>
          <w:rFonts w:ascii="Times New Roman" w:hAnsi="Times New Roman" w:cs="Times New Roman"/>
          <w:sz w:val="24"/>
          <w:szCs w:val="24"/>
        </w:rPr>
        <w:t xml:space="preserve"> an impact despite its influence shrinking to portions of </w:t>
      </w:r>
      <w:proofErr w:type="spellStart"/>
      <w:r w:rsidR="00BD534A">
        <w:rPr>
          <w:rFonts w:ascii="Times New Roman" w:hAnsi="Times New Roman" w:cs="Times New Roman"/>
          <w:sz w:val="24"/>
          <w:szCs w:val="24"/>
        </w:rPr>
        <w:t>Equatoria</w:t>
      </w:r>
      <w:proofErr w:type="spellEnd"/>
      <w:r w:rsidR="00BD534A">
        <w:rPr>
          <w:rFonts w:ascii="Times New Roman" w:hAnsi="Times New Roman" w:cs="Times New Roman"/>
          <w:sz w:val="24"/>
          <w:szCs w:val="24"/>
        </w:rPr>
        <w:t xml:space="preserve"> within a year</w:t>
      </w:r>
      <w:r w:rsidR="00F72759">
        <w:rPr>
          <w:rFonts w:ascii="Times New Roman" w:hAnsi="Times New Roman" w:cs="Times New Roman"/>
          <w:sz w:val="24"/>
          <w:szCs w:val="24"/>
        </w:rPr>
        <w:t>.</w:t>
      </w:r>
      <w:r w:rsidR="00BD534A">
        <w:rPr>
          <w:rStyle w:val="FootnoteReference"/>
          <w:rFonts w:ascii="Times New Roman" w:hAnsi="Times New Roman" w:cs="Times New Roman"/>
          <w:sz w:val="24"/>
          <w:szCs w:val="24"/>
        </w:rPr>
        <w:footnoteReference w:id="155"/>
      </w:r>
      <w:r w:rsidR="00F72759">
        <w:rPr>
          <w:rFonts w:ascii="Times New Roman" w:hAnsi="Times New Roman" w:cs="Times New Roman"/>
          <w:sz w:val="24"/>
          <w:szCs w:val="24"/>
        </w:rPr>
        <w:t xml:space="preserve"> The SSPG divided the three southern provinces into nine administrative units, organizing regional, provincial, and district-level councils to help coordinate activities among both civil and military organizations. The inclusion of political officers substantially improved civil-military relations for a time, although this was short-lived.</w:t>
      </w:r>
      <w:r w:rsidR="00F72759">
        <w:rPr>
          <w:rStyle w:val="FootnoteReference"/>
          <w:rFonts w:ascii="Times New Roman" w:hAnsi="Times New Roman" w:cs="Times New Roman"/>
          <w:sz w:val="24"/>
          <w:szCs w:val="24"/>
        </w:rPr>
        <w:footnoteReference w:id="156"/>
      </w:r>
      <w:r w:rsidR="00F72759">
        <w:rPr>
          <w:rFonts w:ascii="Times New Roman" w:hAnsi="Times New Roman" w:cs="Times New Roman"/>
          <w:sz w:val="24"/>
          <w:szCs w:val="24"/>
        </w:rPr>
        <w:t xml:space="preserve"> Eventually, it was replaced by the more regional Nile Provisional Government</w:t>
      </w:r>
      <w:r w:rsidR="000F128F">
        <w:rPr>
          <w:rFonts w:ascii="Times New Roman" w:hAnsi="Times New Roman" w:cs="Times New Roman"/>
          <w:sz w:val="24"/>
          <w:szCs w:val="24"/>
        </w:rPr>
        <w:t xml:space="preserve"> (NPG)</w:t>
      </w:r>
      <w:r w:rsidR="00F72759">
        <w:rPr>
          <w:rFonts w:ascii="Times New Roman" w:hAnsi="Times New Roman" w:cs="Times New Roman"/>
          <w:sz w:val="24"/>
          <w:szCs w:val="24"/>
        </w:rPr>
        <w:t xml:space="preserve"> in 1969, before being absorbed into the Southern Sudan Liberation Movement</w:t>
      </w:r>
      <w:r w:rsidR="00C96FC6">
        <w:rPr>
          <w:rFonts w:ascii="Times New Roman" w:hAnsi="Times New Roman" w:cs="Times New Roman"/>
          <w:sz w:val="24"/>
          <w:szCs w:val="24"/>
        </w:rPr>
        <w:t xml:space="preserve"> (SSLM)</w:t>
      </w:r>
      <w:r w:rsidR="00F72759">
        <w:rPr>
          <w:rFonts w:ascii="Times New Roman" w:hAnsi="Times New Roman" w:cs="Times New Roman"/>
          <w:sz w:val="24"/>
          <w:szCs w:val="24"/>
        </w:rPr>
        <w:t xml:space="preserve"> the year after.</w:t>
      </w:r>
      <w:r w:rsidR="00F72759">
        <w:rPr>
          <w:rStyle w:val="FootnoteReference"/>
          <w:rFonts w:ascii="Times New Roman" w:hAnsi="Times New Roman" w:cs="Times New Roman"/>
          <w:sz w:val="24"/>
          <w:szCs w:val="24"/>
        </w:rPr>
        <w:footnoteReference w:id="157"/>
      </w:r>
      <w:r w:rsidR="000F128F">
        <w:rPr>
          <w:rFonts w:ascii="Times New Roman" w:hAnsi="Times New Roman" w:cs="Times New Roman"/>
          <w:sz w:val="24"/>
          <w:szCs w:val="24"/>
        </w:rPr>
        <w:t xml:space="preserve"> Before its absorption, though, the NPG did indeed select its short-lived president and vice president by way of election (albeit by delegates from the NPG’s purview).</w:t>
      </w:r>
      <w:r w:rsidR="00C96FC6">
        <w:rPr>
          <w:rStyle w:val="FootnoteReference"/>
          <w:rFonts w:ascii="Times New Roman" w:hAnsi="Times New Roman" w:cs="Times New Roman"/>
          <w:sz w:val="24"/>
          <w:szCs w:val="24"/>
        </w:rPr>
        <w:footnoteReference w:id="158"/>
      </w:r>
    </w:p>
    <w:p w14:paraId="25399B20" w14:textId="7C6A5884" w:rsidR="0037570D" w:rsidRDefault="001C23E9">
      <w:pPr>
        <w:rPr>
          <w:rFonts w:ascii="Times New Roman" w:hAnsi="Times New Roman" w:cs="Times New Roman"/>
          <w:sz w:val="24"/>
          <w:szCs w:val="24"/>
        </w:rPr>
      </w:pPr>
      <w:r>
        <w:rPr>
          <w:rFonts w:ascii="Times New Roman" w:hAnsi="Times New Roman" w:cs="Times New Roman"/>
          <w:sz w:val="24"/>
          <w:szCs w:val="24"/>
        </w:rPr>
        <w:tab/>
        <w:t xml:space="preserve">The SSLM also absorbed other regional political organizations into itself, </w:t>
      </w:r>
      <w:r w:rsidR="0037570D">
        <w:rPr>
          <w:rFonts w:ascii="Times New Roman" w:hAnsi="Times New Roman" w:cs="Times New Roman"/>
          <w:sz w:val="24"/>
          <w:szCs w:val="24"/>
        </w:rPr>
        <w:t>ultimately helping to</w:t>
      </w:r>
      <w:r>
        <w:rPr>
          <w:rFonts w:ascii="Times New Roman" w:hAnsi="Times New Roman" w:cs="Times New Roman"/>
          <w:sz w:val="24"/>
          <w:szCs w:val="24"/>
        </w:rPr>
        <w:t xml:space="preserve"> negotiate the Addis Ababa agreement in 1972.</w:t>
      </w:r>
      <w:r>
        <w:rPr>
          <w:rStyle w:val="FootnoteReference"/>
          <w:rFonts w:ascii="Times New Roman" w:hAnsi="Times New Roman" w:cs="Times New Roman"/>
          <w:sz w:val="24"/>
          <w:szCs w:val="24"/>
        </w:rPr>
        <w:footnoteReference w:id="159"/>
      </w:r>
      <w:r>
        <w:rPr>
          <w:rFonts w:ascii="Times New Roman" w:hAnsi="Times New Roman" w:cs="Times New Roman"/>
          <w:sz w:val="24"/>
          <w:szCs w:val="24"/>
        </w:rPr>
        <w:t xml:space="preserve"> </w:t>
      </w:r>
      <w:r w:rsidR="0037570D">
        <w:rPr>
          <w:rFonts w:ascii="Times New Roman" w:hAnsi="Times New Roman" w:cs="Times New Roman"/>
          <w:sz w:val="24"/>
          <w:szCs w:val="24"/>
        </w:rPr>
        <w:t xml:space="preserve">This ideally would concentrate the administrative capacity of Southern Sudan’s parallel administration into a single organization. </w:t>
      </w:r>
      <w:r w:rsidR="0037570D">
        <w:rPr>
          <w:rFonts w:ascii="Times New Roman" w:hAnsi="Times New Roman" w:cs="Times New Roman"/>
          <w:sz w:val="24"/>
          <w:szCs w:val="24"/>
        </w:rPr>
        <w:lastRenderedPageBreak/>
        <w:t>Local chiefs had already been empowered to act as policing and juridical actors before the consolidation, and there were reports that abandoned infrastructure was being used to facilitate these functions.</w:t>
      </w:r>
      <w:r w:rsidR="00F428F3">
        <w:rPr>
          <w:rStyle w:val="FootnoteReference"/>
          <w:rFonts w:ascii="Times New Roman" w:hAnsi="Times New Roman" w:cs="Times New Roman"/>
          <w:sz w:val="24"/>
          <w:szCs w:val="24"/>
        </w:rPr>
        <w:footnoteReference w:id="160"/>
      </w:r>
      <w:r w:rsidR="0037570D">
        <w:rPr>
          <w:rFonts w:ascii="Times New Roman" w:hAnsi="Times New Roman" w:cs="Times New Roman"/>
          <w:sz w:val="24"/>
          <w:szCs w:val="24"/>
        </w:rPr>
        <w:t xml:space="preserve"> After the SSLM formed, there were attempts to provide training and coordination to the chiefs’ efforts, with some positive results. Reports of operational courts and schools</w:t>
      </w:r>
      <w:r w:rsidR="00F428F3">
        <w:rPr>
          <w:rFonts w:ascii="Times New Roman" w:hAnsi="Times New Roman" w:cs="Times New Roman"/>
          <w:sz w:val="24"/>
          <w:szCs w:val="24"/>
        </w:rPr>
        <w:t>—a sore subject in the South given Khartoum’s attempts at Arabization and Proselytizing via official curricula</w:t>
      </w:r>
      <w:r w:rsidR="00F428F3">
        <w:rPr>
          <w:rStyle w:val="FootnoteReference"/>
          <w:rFonts w:ascii="Times New Roman" w:hAnsi="Times New Roman" w:cs="Times New Roman"/>
          <w:sz w:val="24"/>
          <w:szCs w:val="24"/>
        </w:rPr>
        <w:footnoteReference w:id="161"/>
      </w:r>
      <w:r w:rsidR="00F428F3">
        <w:rPr>
          <w:rFonts w:ascii="Times New Roman" w:hAnsi="Times New Roman" w:cs="Times New Roman"/>
          <w:sz w:val="24"/>
          <w:szCs w:val="24"/>
        </w:rPr>
        <w:t>—</w:t>
      </w:r>
      <w:r w:rsidR="0037570D">
        <w:rPr>
          <w:rFonts w:ascii="Times New Roman" w:hAnsi="Times New Roman" w:cs="Times New Roman"/>
          <w:sz w:val="24"/>
          <w:szCs w:val="24"/>
        </w:rPr>
        <w:t>were reasons for optimism regarding these efforts.</w:t>
      </w:r>
      <w:r w:rsidR="00F428F3">
        <w:rPr>
          <w:rStyle w:val="FootnoteReference"/>
          <w:rFonts w:ascii="Times New Roman" w:hAnsi="Times New Roman" w:cs="Times New Roman"/>
          <w:sz w:val="24"/>
          <w:szCs w:val="24"/>
        </w:rPr>
        <w:footnoteReference w:id="162"/>
      </w:r>
      <w:r w:rsidR="001D08EF">
        <w:rPr>
          <w:rFonts w:ascii="Times New Roman" w:hAnsi="Times New Roman" w:cs="Times New Roman"/>
          <w:sz w:val="24"/>
          <w:szCs w:val="24"/>
        </w:rPr>
        <w:t xml:space="preserve"> </w:t>
      </w:r>
      <w:r w:rsidR="006F768D">
        <w:rPr>
          <w:rFonts w:ascii="Times New Roman" w:hAnsi="Times New Roman" w:cs="Times New Roman"/>
          <w:sz w:val="24"/>
          <w:szCs w:val="24"/>
        </w:rPr>
        <w:t>Courts (ad-hoc and otherwise) and schools were indeed provided in Anya Nya territory,</w:t>
      </w:r>
      <w:r w:rsidR="003D3C3F">
        <w:rPr>
          <w:rFonts w:ascii="Times New Roman" w:hAnsi="Times New Roman" w:cs="Times New Roman"/>
          <w:sz w:val="24"/>
          <w:szCs w:val="24"/>
        </w:rPr>
        <w:t xml:space="preserve"> with Anya-Nya village scouts serving both as police and as liaison’s with local leadership.</w:t>
      </w:r>
      <w:r w:rsidR="003D3C3F">
        <w:rPr>
          <w:rStyle w:val="FootnoteReference"/>
          <w:rFonts w:ascii="Times New Roman" w:hAnsi="Times New Roman" w:cs="Times New Roman"/>
          <w:sz w:val="24"/>
          <w:szCs w:val="24"/>
        </w:rPr>
        <w:footnoteReference w:id="163"/>
      </w:r>
      <w:r w:rsidR="003D3C3F">
        <w:rPr>
          <w:rFonts w:ascii="Times New Roman" w:hAnsi="Times New Roman" w:cs="Times New Roman"/>
          <w:sz w:val="24"/>
          <w:szCs w:val="24"/>
        </w:rPr>
        <w:t xml:space="preserve"> E</w:t>
      </w:r>
      <w:r w:rsidR="001D08EF">
        <w:rPr>
          <w:rFonts w:ascii="Times New Roman" w:hAnsi="Times New Roman" w:cs="Times New Roman"/>
          <w:sz w:val="24"/>
          <w:szCs w:val="24"/>
        </w:rPr>
        <w:t>ducation in particular began to make substantial strides towards the conflict’s end, with a teaching training center and the introduction of small forest schools.</w:t>
      </w:r>
      <w:r w:rsidR="001D08EF">
        <w:rPr>
          <w:rStyle w:val="FootnoteReference"/>
          <w:rFonts w:ascii="Times New Roman" w:hAnsi="Times New Roman" w:cs="Times New Roman"/>
          <w:sz w:val="24"/>
          <w:szCs w:val="24"/>
        </w:rPr>
        <w:footnoteReference w:id="164"/>
      </w:r>
    </w:p>
    <w:p w14:paraId="2E00D84B" w14:textId="77777777" w:rsidR="002F150A" w:rsidRDefault="002F150A">
      <w:pPr>
        <w:rPr>
          <w:rFonts w:ascii="Times New Roman" w:hAnsi="Times New Roman" w:cs="Times New Roman"/>
          <w:sz w:val="24"/>
          <w:szCs w:val="24"/>
        </w:rPr>
      </w:pPr>
      <w:r>
        <w:rPr>
          <w:rFonts w:ascii="AGaramond-Regular" w:hAnsi="AGaramond-Regular" w:cs="AGaramond-Regular"/>
          <w:sz w:val="19"/>
          <w:szCs w:val="19"/>
        </w:rPr>
        <w:tab/>
      </w:r>
      <w:r>
        <w:rPr>
          <w:rFonts w:ascii="Times New Roman" w:hAnsi="Times New Roman" w:cs="Times New Roman"/>
          <w:sz w:val="24"/>
          <w:szCs w:val="24"/>
        </w:rPr>
        <w:t>There were</w:t>
      </w:r>
      <w:r w:rsidR="00F428F3">
        <w:rPr>
          <w:rFonts w:ascii="Times New Roman" w:hAnsi="Times New Roman" w:cs="Times New Roman"/>
          <w:sz w:val="24"/>
          <w:szCs w:val="24"/>
        </w:rPr>
        <w:t xml:space="preserve"> also</w:t>
      </w:r>
      <w:r>
        <w:rPr>
          <w:rFonts w:ascii="Times New Roman" w:hAnsi="Times New Roman" w:cs="Times New Roman"/>
          <w:sz w:val="24"/>
          <w:szCs w:val="24"/>
        </w:rPr>
        <w:t xml:space="preserve"> efforts to provide some basic medical care, for instance, but to little effect. The government </w:t>
      </w:r>
      <w:r w:rsidR="002069A9">
        <w:rPr>
          <w:rFonts w:ascii="Times New Roman" w:hAnsi="Times New Roman" w:cs="Times New Roman"/>
          <w:sz w:val="24"/>
          <w:szCs w:val="24"/>
        </w:rPr>
        <w:t>controlled the health system and had little trouble bombing those hospitals which resided in</w:t>
      </w:r>
      <w:r w:rsidR="00F428F3">
        <w:rPr>
          <w:rFonts w:ascii="Times New Roman" w:hAnsi="Times New Roman" w:cs="Times New Roman"/>
          <w:sz w:val="24"/>
          <w:szCs w:val="24"/>
        </w:rPr>
        <w:t xml:space="preserve"> territory the</w:t>
      </w:r>
      <w:r w:rsidR="002069A9">
        <w:rPr>
          <w:rFonts w:ascii="Times New Roman" w:hAnsi="Times New Roman" w:cs="Times New Roman"/>
          <w:sz w:val="24"/>
          <w:szCs w:val="24"/>
        </w:rPr>
        <w:t xml:space="preserve"> rebel</w:t>
      </w:r>
      <w:r w:rsidR="00F428F3">
        <w:rPr>
          <w:rFonts w:ascii="Times New Roman" w:hAnsi="Times New Roman" w:cs="Times New Roman"/>
          <w:sz w:val="24"/>
          <w:szCs w:val="24"/>
        </w:rPr>
        <w:t>s conquered</w:t>
      </w:r>
      <w:r w:rsidR="002069A9">
        <w:rPr>
          <w:rFonts w:ascii="Times New Roman" w:hAnsi="Times New Roman" w:cs="Times New Roman"/>
          <w:sz w:val="24"/>
          <w:szCs w:val="24"/>
        </w:rPr>
        <w:t>.</w:t>
      </w:r>
      <w:r w:rsidR="00F428F3">
        <w:rPr>
          <w:rStyle w:val="FootnoteReference"/>
          <w:rFonts w:ascii="Times New Roman" w:hAnsi="Times New Roman" w:cs="Times New Roman"/>
          <w:sz w:val="24"/>
          <w:szCs w:val="24"/>
        </w:rPr>
        <w:footnoteReference w:id="165"/>
      </w:r>
      <w:r w:rsidR="00F428F3" w:rsidRPr="00F428F3">
        <w:rPr>
          <w:rStyle w:val="FootnoteReference"/>
          <w:rFonts w:ascii="Times New Roman" w:hAnsi="Times New Roman" w:cs="Times New Roman"/>
          <w:sz w:val="24"/>
          <w:szCs w:val="24"/>
        </w:rPr>
        <w:t xml:space="preserve"> </w:t>
      </w:r>
      <w:r w:rsidR="002069A9">
        <w:rPr>
          <w:rFonts w:ascii="Times New Roman" w:hAnsi="Times New Roman" w:cs="Times New Roman"/>
          <w:sz w:val="24"/>
          <w:szCs w:val="24"/>
        </w:rPr>
        <w:t>Moreover, when Southern Sudanese expats encouraged the World Health Organization to provide basic medical care (especially related to cholera treatment and prevention, they were stopped from doing so with the government arguing that there was not a single case of cholera in the whole country.</w:t>
      </w:r>
      <w:r w:rsidR="00F428F3">
        <w:rPr>
          <w:rStyle w:val="FootnoteReference"/>
          <w:rFonts w:ascii="Times New Roman" w:hAnsi="Times New Roman" w:cs="Times New Roman"/>
          <w:sz w:val="24"/>
          <w:szCs w:val="24"/>
        </w:rPr>
        <w:footnoteReference w:id="166"/>
      </w:r>
      <w:r w:rsidR="00F428F3" w:rsidRPr="00F428F3">
        <w:rPr>
          <w:rStyle w:val="FootnoteReference"/>
          <w:rFonts w:ascii="Times New Roman" w:hAnsi="Times New Roman" w:cs="Times New Roman"/>
          <w:sz w:val="24"/>
          <w:szCs w:val="24"/>
        </w:rPr>
        <w:t xml:space="preserve"> </w:t>
      </w:r>
    </w:p>
    <w:p w14:paraId="71767B87" w14:textId="77777777" w:rsidR="00F428F3" w:rsidRDefault="00F428F3">
      <w:pPr>
        <w:rPr>
          <w:rFonts w:ascii="Times New Roman" w:hAnsi="Times New Roman" w:cs="Times New Roman"/>
          <w:sz w:val="24"/>
          <w:szCs w:val="24"/>
        </w:rPr>
      </w:pPr>
      <w:r>
        <w:rPr>
          <w:rFonts w:ascii="Times New Roman" w:hAnsi="Times New Roman" w:cs="Times New Roman"/>
          <w:sz w:val="24"/>
          <w:szCs w:val="24"/>
        </w:rPr>
        <w:tab/>
        <w:t xml:space="preserve">Even aside from bombed out infrastructure, rebel governance in Southern Sudan was more impressive on paper </w:t>
      </w:r>
      <w:proofErr w:type="gramStart"/>
      <w:r>
        <w:rPr>
          <w:rFonts w:ascii="Times New Roman" w:hAnsi="Times New Roman" w:cs="Times New Roman"/>
          <w:sz w:val="24"/>
          <w:szCs w:val="24"/>
        </w:rPr>
        <w:t>than in reality</w:t>
      </w:r>
      <w:proofErr w:type="gramEnd"/>
      <w:r>
        <w:rPr>
          <w:rFonts w:ascii="Times New Roman" w:hAnsi="Times New Roman" w:cs="Times New Roman"/>
          <w:sz w:val="24"/>
          <w:szCs w:val="24"/>
        </w:rPr>
        <w:t>.</w:t>
      </w:r>
      <w:r w:rsidR="00963B3E">
        <w:rPr>
          <w:rFonts w:ascii="Times New Roman" w:hAnsi="Times New Roman" w:cs="Times New Roman"/>
          <w:sz w:val="24"/>
          <w:szCs w:val="24"/>
        </w:rPr>
        <w:t xml:space="preserve"> The regional governance organizations—like the SSPG and its successor the NPG—were generally seen as “dysfunctional.”</w:t>
      </w:r>
      <w:r w:rsidR="00963B3E">
        <w:rPr>
          <w:rStyle w:val="FootnoteReference"/>
          <w:rFonts w:ascii="Times New Roman" w:hAnsi="Times New Roman" w:cs="Times New Roman"/>
          <w:sz w:val="24"/>
          <w:szCs w:val="24"/>
        </w:rPr>
        <w:footnoteReference w:id="167"/>
      </w:r>
      <w:r>
        <w:rPr>
          <w:rFonts w:ascii="Times New Roman" w:hAnsi="Times New Roman" w:cs="Times New Roman"/>
          <w:sz w:val="24"/>
          <w:szCs w:val="24"/>
        </w:rPr>
        <w:t xml:space="preserve"> </w:t>
      </w:r>
      <w:r w:rsidR="00963B3E">
        <w:rPr>
          <w:rFonts w:ascii="Times New Roman" w:hAnsi="Times New Roman" w:cs="Times New Roman"/>
          <w:sz w:val="24"/>
          <w:szCs w:val="24"/>
        </w:rPr>
        <w:t>Despite reportedly making progress after the SSLM consolidated governing efforts, actual provision was “sparse.”</w:t>
      </w:r>
      <w:r w:rsidR="00963B3E">
        <w:rPr>
          <w:rStyle w:val="FootnoteReference"/>
          <w:rFonts w:ascii="Times New Roman" w:hAnsi="Times New Roman" w:cs="Times New Roman"/>
          <w:sz w:val="24"/>
          <w:szCs w:val="24"/>
        </w:rPr>
        <w:footnoteReference w:id="168"/>
      </w:r>
      <w:r w:rsidR="00963B3E">
        <w:rPr>
          <w:rFonts w:ascii="Times New Roman" w:hAnsi="Times New Roman" w:cs="Times New Roman"/>
          <w:sz w:val="24"/>
          <w:szCs w:val="24"/>
        </w:rPr>
        <w:t xml:space="preserve"> </w:t>
      </w:r>
    </w:p>
    <w:p w14:paraId="696DD26A" w14:textId="77777777" w:rsidR="0054390C" w:rsidRDefault="0054390C">
      <w:pPr>
        <w:rPr>
          <w:rFonts w:ascii="Times New Roman" w:hAnsi="Times New Roman" w:cs="Times New Roman"/>
          <w:b/>
          <w:sz w:val="24"/>
          <w:szCs w:val="24"/>
        </w:rPr>
      </w:pPr>
      <w:r>
        <w:rPr>
          <w:rFonts w:ascii="Times New Roman" w:hAnsi="Times New Roman" w:cs="Times New Roman"/>
          <w:b/>
          <w:sz w:val="24"/>
          <w:szCs w:val="24"/>
        </w:rPr>
        <w:t>Uganda (1978-1979)</w:t>
      </w:r>
    </w:p>
    <w:p w14:paraId="352E2DC3" w14:textId="77777777" w:rsidR="0054390C" w:rsidRDefault="0054390C" w:rsidP="0054390C">
      <w:pPr>
        <w:rPr>
          <w:rFonts w:ascii="Times New Roman" w:hAnsi="Times New Roman" w:cs="Times New Roman"/>
          <w:sz w:val="24"/>
          <w:szCs w:val="24"/>
        </w:rPr>
      </w:pPr>
      <w:r>
        <w:rPr>
          <w:rFonts w:ascii="Times New Roman" w:hAnsi="Times New Roman" w:cs="Times New Roman"/>
          <w:sz w:val="24"/>
          <w:szCs w:val="24"/>
        </w:rPr>
        <w:t xml:space="preserve">Rebels / Incumbents: </w:t>
      </w:r>
      <w:r w:rsidR="003802F5">
        <w:rPr>
          <w:rFonts w:ascii="Times New Roman" w:hAnsi="Times New Roman" w:cs="Times New Roman"/>
          <w:sz w:val="24"/>
          <w:szCs w:val="24"/>
        </w:rPr>
        <w:t>Uganda National Liberation Army, Front (UNLA, UNLF) / Uganda</w:t>
      </w:r>
    </w:p>
    <w:p w14:paraId="479E51FA" w14:textId="77777777" w:rsidR="0054390C" w:rsidRDefault="0054390C" w:rsidP="0054390C">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462E4C">
        <w:rPr>
          <w:rFonts w:ascii="Times New Roman" w:hAnsi="Times New Roman" w:cs="Times New Roman"/>
          <w:b/>
          <w:sz w:val="24"/>
          <w:szCs w:val="24"/>
        </w:rPr>
        <w:t>0</w:t>
      </w:r>
      <w:r w:rsidRPr="00F62BA4">
        <w:rPr>
          <w:rFonts w:ascii="Times New Roman" w:hAnsi="Times New Roman" w:cs="Times New Roman"/>
          <w:b/>
          <w:sz w:val="24"/>
          <w:szCs w:val="24"/>
        </w:rPr>
        <w:t xml:space="preserve">; Public Goods: </w:t>
      </w:r>
      <w:r w:rsidR="00462E4C">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462E4C">
        <w:rPr>
          <w:rFonts w:ascii="Times New Roman" w:hAnsi="Times New Roman" w:cs="Times New Roman"/>
          <w:b/>
          <w:sz w:val="24"/>
          <w:szCs w:val="24"/>
        </w:rPr>
        <w:t xml:space="preserve"> 0</w:t>
      </w:r>
    </w:p>
    <w:p w14:paraId="1FBBD03E" w14:textId="77777777" w:rsidR="0054390C" w:rsidRDefault="003802F5" w:rsidP="0054390C">
      <w:pPr>
        <w:rPr>
          <w:rFonts w:ascii="Times New Roman" w:hAnsi="Times New Roman" w:cs="Times New Roman"/>
          <w:sz w:val="24"/>
          <w:szCs w:val="24"/>
        </w:rPr>
      </w:pPr>
      <w:r>
        <w:rPr>
          <w:rFonts w:ascii="Times New Roman" w:hAnsi="Times New Roman" w:cs="Times New Roman"/>
          <w:sz w:val="24"/>
          <w:szCs w:val="24"/>
        </w:rPr>
        <w:tab/>
        <w:t>The brief war to oust Idi Amin</w:t>
      </w:r>
      <w:r w:rsidR="00342001">
        <w:rPr>
          <w:rFonts w:ascii="Times New Roman" w:hAnsi="Times New Roman" w:cs="Times New Roman"/>
          <w:sz w:val="24"/>
          <w:szCs w:val="24"/>
        </w:rPr>
        <w:t xml:space="preserve"> was technically a civil war in that the UNLA fought to overthrow the government, but Tanzania’s role looms large. Originally, Ugandan forces had been gearing up to invade Tanzania by way of the </w:t>
      </w:r>
      <w:proofErr w:type="spellStart"/>
      <w:r w:rsidR="00342001">
        <w:rPr>
          <w:rFonts w:ascii="Times New Roman" w:hAnsi="Times New Roman" w:cs="Times New Roman"/>
          <w:sz w:val="24"/>
          <w:szCs w:val="24"/>
        </w:rPr>
        <w:t>Kagera</w:t>
      </w:r>
      <w:proofErr w:type="spellEnd"/>
      <w:r w:rsidR="00342001">
        <w:rPr>
          <w:rFonts w:ascii="Times New Roman" w:hAnsi="Times New Roman" w:cs="Times New Roman"/>
          <w:sz w:val="24"/>
          <w:szCs w:val="24"/>
        </w:rPr>
        <w:t xml:space="preserve"> salient with the aim of annexing that </w:t>
      </w:r>
      <w:r w:rsidR="00342001">
        <w:rPr>
          <w:rFonts w:ascii="Times New Roman" w:hAnsi="Times New Roman" w:cs="Times New Roman"/>
          <w:sz w:val="24"/>
          <w:szCs w:val="24"/>
        </w:rPr>
        <w:lastRenderedPageBreak/>
        <w:t>territory. Although the ostensible goal of this planned invasion was to reinforce Amin’s position, it instead galvanized forces at home and abroad to overthrow him.</w:t>
      </w:r>
      <w:r w:rsidR="00342001">
        <w:rPr>
          <w:rStyle w:val="FootnoteReference"/>
          <w:rFonts w:ascii="Times New Roman" w:hAnsi="Times New Roman" w:cs="Times New Roman"/>
          <w:sz w:val="24"/>
          <w:szCs w:val="24"/>
        </w:rPr>
        <w:footnoteReference w:id="169"/>
      </w:r>
    </w:p>
    <w:p w14:paraId="0330ADFF" w14:textId="77777777" w:rsidR="0054390C" w:rsidRPr="00462E4C" w:rsidRDefault="00342001">
      <w:pPr>
        <w:rPr>
          <w:rFonts w:ascii="Times New Roman" w:hAnsi="Times New Roman" w:cs="Times New Roman"/>
          <w:sz w:val="24"/>
          <w:szCs w:val="24"/>
        </w:rPr>
      </w:pPr>
      <w:r>
        <w:rPr>
          <w:rFonts w:ascii="Times New Roman" w:hAnsi="Times New Roman" w:cs="Times New Roman"/>
          <w:sz w:val="24"/>
          <w:szCs w:val="24"/>
        </w:rPr>
        <w:tab/>
        <w:t xml:space="preserve">Despite uniting for their common purpose, writing a constitution, and assuming </w:t>
      </w:r>
      <w:r w:rsidR="000A4FB5">
        <w:rPr>
          <w:rFonts w:ascii="Times New Roman" w:hAnsi="Times New Roman" w:cs="Times New Roman"/>
          <w:sz w:val="24"/>
          <w:szCs w:val="24"/>
        </w:rPr>
        <w:t>control of the postwar government, the UNLF was hardly an effective political party. With no experience themselves and facing the challenge of administering a country whose governance apparatus had been ransacked and looted by its incumbents, they struggled mightily.</w:t>
      </w:r>
      <w:r w:rsidR="000A4FB5">
        <w:rPr>
          <w:rStyle w:val="FootnoteReference"/>
          <w:rFonts w:ascii="Times New Roman" w:hAnsi="Times New Roman" w:cs="Times New Roman"/>
          <w:sz w:val="24"/>
          <w:szCs w:val="24"/>
        </w:rPr>
        <w:footnoteReference w:id="170"/>
      </w:r>
      <w:r w:rsidR="000A4FB5">
        <w:rPr>
          <w:rFonts w:ascii="Times New Roman" w:hAnsi="Times New Roman" w:cs="Times New Roman"/>
          <w:sz w:val="24"/>
          <w:szCs w:val="24"/>
        </w:rPr>
        <w:t xml:space="preserve"> One of the issues is this lack of experience—or indeed, the lack of governing purpose prior to seizing the capital</w:t>
      </w:r>
      <w:r w:rsidR="00B9046F">
        <w:rPr>
          <w:rFonts w:ascii="Times New Roman" w:hAnsi="Times New Roman" w:cs="Times New Roman"/>
          <w:sz w:val="24"/>
          <w:szCs w:val="24"/>
        </w:rPr>
        <w:t>, although they were to assume governing responsibility at that point.</w:t>
      </w:r>
      <w:r w:rsidR="00B9046F">
        <w:rPr>
          <w:rStyle w:val="FootnoteReference"/>
          <w:rFonts w:ascii="Times New Roman" w:hAnsi="Times New Roman" w:cs="Times New Roman"/>
          <w:sz w:val="24"/>
          <w:szCs w:val="24"/>
        </w:rPr>
        <w:footnoteReference w:id="171"/>
      </w:r>
      <w:r w:rsidR="000A4FB5">
        <w:rPr>
          <w:rFonts w:ascii="Times New Roman" w:hAnsi="Times New Roman" w:cs="Times New Roman"/>
          <w:sz w:val="24"/>
          <w:szCs w:val="24"/>
        </w:rPr>
        <w:t xml:space="preserve"> Another was the fact that the group was a mishmash of several different groups with wildly different agendas (beyond overthrowing Amin) and ideologies.</w:t>
      </w:r>
      <w:r w:rsidR="00B9046F">
        <w:rPr>
          <w:rStyle w:val="FootnoteReference"/>
          <w:rFonts w:ascii="Times New Roman" w:hAnsi="Times New Roman" w:cs="Times New Roman"/>
          <w:sz w:val="24"/>
          <w:szCs w:val="24"/>
        </w:rPr>
        <w:footnoteReference w:id="172"/>
      </w:r>
      <w:r w:rsidR="000A4FB5">
        <w:rPr>
          <w:rFonts w:ascii="Times New Roman" w:hAnsi="Times New Roman" w:cs="Times New Roman"/>
          <w:sz w:val="24"/>
          <w:szCs w:val="24"/>
        </w:rPr>
        <w:t xml:space="preserve"> Lastly, the group was quite small—only about 1,000 at the beginning of the </w:t>
      </w:r>
      <w:r w:rsidR="00B9046F">
        <w:rPr>
          <w:rFonts w:ascii="Times New Roman" w:hAnsi="Times New Roman" w:cs="Times New Roman"/>
          <w:sz w:val="24"/>
          <w:szCs w:val="24"/>
        </w:rPr>
        <w:t>invasion.</w:t>
      </w:r>
      <w:r w:rsidR="00B9046F">
        <w:rPr>
          <w:rStyle w:val="FootnoteReference"/>
          <w:rFonts w:ascii="Times New Roman" w:hAnsi="Times New Roman" w:cs="Times New Roman"/>
          <w:sz w:val="24"/>
          <w:szCs w:val="24"/>
        </w:rPr>
        <w:footnoteReference w:id="173"/>
      </w:r>
      <w:r w:rsidR="00B9046F">
        <w:rPr>
          <w:rFonts w:ascii="Times New Roman" w:hAnsi="Times New Roman" w:cs="Times New Roman"/>
          <w:sz w:val="24"/>
          <w:szCs w:val="24"/>
        </w:rPr>
        <w:t xml:space="preserve"> Over the few </w:t>
      </w:r>
      <w:r w:rsidR="000118D0">
        <w:rPr>
          <w:rFonts w:ascii="Times New Roman" w:hAnsi="Times New Roman" w:cs="Times New Roman"/>
          <w:sz w:val="24"/>
          <w:szCs w:val="24"/>
        </w:rPr>
        <w:t>months</w:t>
      </w:r>
      <w:r w:rsidR="00B9046F">
        <w:rPr>
          <w:rFonts w:ascii="Times New Roman" w:hAnsi="Times New Roman" w:cs="Times New Roman"/>
          <w:sz w:val="24"/>
          <w:szCs w:val="24"/>
        </w:rPr>
        <w:t xml:space="preserve"> between beginning to fight and taking the capital of Kampala, they did no governing.</w:t>
      </w:r>
    </w:p>
    <w:p w14:paraId="7D8FD072" w14:textId="77777777" w:rsidR="0054390C" w:rsidRDefault="0054390C">
      <w:pPr>
        <w:rPr>
          <w:rFonts w:ascii="Times New Roman" w:hAnsi="Times New Roman" w:cs="Times New Roman"/>
          <w:b/>
          <w:sz w:val="24"/>
          <w:szCs w:val="24"/>
        </w:rPr>
      </w:pPr>
      <w:r>
        <w:rPr>
          <w:rFonts w:ascii="Times New Roman" w:hAnsi="Times New Roman" w:cs="Times New Roman"/>
          <w:b/>
          <w:sz w:val="24"/>
          <w:szCs w:val="24"/>
        </w:rPr>
        <w:t>Vietnam (1960-1975)</w:t>
      </w:r>
    </w:p>
    <w:p w14:paraId="113CAA31" w14:textId="77777777" w:rsidR="0054390C" w:rsidRDefault="0054390C" w:rsidP="0054390C">
      <w:pPr>
        <w:rPr>
          <w:rFonts w:ascii="Times New Roman" w:hAnsi="Times New Roman" w:cs="Times New Roman"/>
          <w:sz w:val="24"/>
          <w:szCs w:val="24"/>
        </w:rPr>
      </w:pPr>
      <w:r>
        <w:rPr>
          <w:rFonts w:ascii="Times New Roman" w:hAnsi="Times New Roman" w:cs="Times New Roman"/>
          <w:sz w:val="24"/>
          <w:szCs w:val="24"/>
        </w:rPr>
        <w:t xml:space="preserve">Rebels / Incumbents: </w:t>
      </w:r>
      <w:r w:rsidR="00E948A5">
        <w:rPr>
          <w:rFonts w:ascii="Times New Roman" w:hAnsi="Times New Roman" w:cs="Times New Roman"/>
          <w:sz w:val="24"/>
          <w:szCs w:val="24"/>
        </w:rPr>
        <w:t>Viet Cong</w:t>
      </w:r>
      <w:r w:rsidR="008750B2">
        <w:rPr>
          <w:rFonts w:ascii="Times New Roman" w:hAnsi="Times New Roman" w:cs="Times New Roman"/>
          <w:sz w:val="24"/>
          <w:szCs w:val="24"/>
        </w:rPr>
        <w:t xml:space="preserve"> (VC)</w:t>
      </w:r>
      <w:r w:rsidR="00E948A5">
        <w:rPr>
          <w:rFonts w:ascii="Times New Roman" w:hAnsi="Times New Roman" w:cs="Times New Roman"/>
          <w:sz w:val="24"/>
          <w:szCs w:val="24"/>
        </w:rPr>
        <w:t xml:space="preserve"> / Republic of Vietnam</w:t>
      </w:r>
    </w:p>
    <w:p w14:paraId="5F59DF42" w14:textId="77777777" w:rsidR="0054390C" w:rsidRDefault="0054390C" w:rsidP="0054390C">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C66451">
        <w:rPr>
          <w:rFonts w:ascii="Times New Roman" w:hAnsi="Times New Roman" w:cs="Times New Roman"/>
          <w:b/>
          <w:sz w:val="24"/>
          <w:szCs w:val="24"/>
        </w:rPr>
        <w:t>2</w:t>
      </w:r>
      <w:r w:rsidRPr="00F62BA4">
        <w:rPr>
          <w:rFonts w:ascii="Times New Roman" w:hAnsi="Times New Roman" w:cs="Times New Roman"/>
          <w:b/>
          <w:sz w:val="24"/>
          <w:szCs w:val="24"/>
        </w:rPr>
        <w:t xml:space="preserve">; Public Goods: </w:t>
      </w:r>
      <w:r w:rsidR="00FC54E1">
        <w:rPr>
          <w:rFonts w:ascii="Times New Roman" w:hAnsi="Times New Roman" w:cs="Times New Roman"/>
          <w:b/>
          <w:sz w:val="24"/>
          <w:szCs w:val="24"/>
        </w:rPr>
        <w:t>1</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0408B4">
        <w:rPr>
          <w:rFonts w:ascii="Times New Roman" w:hAnsi="Times New Roman" w:cs="Times New Roman"/>
          <w:b/>
          <w:sz w:val="24"/>
          <w:szCs w:val="24"/>
        </w:rPr>
        <w:t xml:space="preserve"> 1</w:t>
      </w:r>
    </w:p>
    <w:p w14:paraId="15D6CF6E" w14:textId="77777777" w:rsidR="0054390C" w:rsidRDefault="008750B2">
      <w:pPr>
        <w:rPr>
          <w:rFonts w:ascii="Times New Roman" w:hAnsi="Times New Roman" w:cs="Times New Roman"/>
          <w:sz w:val="24"/>
          <w:szCs w:val="24"/>
        </w:rPr>
      </w:pPr>
      <w:r>
        <w:rPr>
          <w:rFonts w:ascii="Times New Roman" w:hAnsi="Times New Roman" w:cs="Times New Roman"/>
          <w:sz w:val="24"/>
          <w:szCs w:val="24"/>
        </w:rPr>
        <w:tab/>
      </w:r>
      <w:r w:rsidR="00BA7A35">
        <w:rPr>
          <w:rFonts w:ascii="Times New Roman" w:hAnsi="Times New Roman" w:cs="Times New Roman"/>
          <w:sz w:val="24"/>
          <w:szCs w:val="24"/>
        </w:rPr>
        <w:t>One can make a</w:t>
      </w:r>
      <w:r w:rsidR="007363E0">
        <w:rPr>
          <w:rFonts w:ascii="Times New Roman" w:hAnsi="Times New Roman" w:cs="Times New Roman"/>
          <w:sz w:val="24"/>
          <w:szCs w:val="24"/>
        </w:rPr>
        <w:t xml:space="preserve"> persuasive</w:t>
      </w:r>
      <w:r w:rsidR="00BA7A35">
        <w:rPr>
          <w:rFonts w:ascii="Times New Roman" w:hAnsi="Times New Roman" w:cs="Times New Roman"/>
          <w:sz w:val="24"/>
          <w:szCs w:val="24"/>
        </w:rPr>
        <w:t xml:space="preserve"> argument that the civil war in the Republic of Vietnam was not a civil war but an invasion. The VC</w:t>
      </w:r>
      <w:r w:rsidR="007363E0">
        <w:rPr>
          <w:rFonts w:ascii="Times New Roman" w:hAnsi="Times New Roman" w:cs="Times New Roman"/>
          <w:sz w:val="24"/>
          <w:szCs w:val="24"/>
        </w:rPr>
        <w:t xml:space="preserve"> and National Liberation Front (NLF) was effectively controlled by the Hanoi government</w:t>
      </w:r>
      <w:r w:rsidR="00E95E6E">
        <w:rPr>
          <w:rFonts w:ascii="Times New Roman" w:hAnsi="Times New Roman" w:cs="Times New Roman"/>
          <w:sz w:val="24"/>
          <w:szCs w:val="24"/>
        </w:rPr>
        <w:t>,</w:t>
      </w:r>
      <w:r w:rsidR="007363E0">
        <w:rPr>
          <w:rStyle w:val="FootnoteReference"/>
          <w:rFonts w:ascii="Times New Roman" w:hAnsi="Times New Roman" w:cs="Times New Roman"/>
          <w:sz w:val="24"/>
          <w:szCs w:val="24"/>
        </w:rPr>
        <w:footnoteReference w:id="174"/>
      </w:r>
      <w:r w:rsidR="007363E0">
        <w:rPr>
          <w:rFonts w:ascii="Times New Roman" w:hAnsi="Times New Roman" w:cs="Times New Roman"/>
          <w:sz w:val="24"/>
          <w:szCs w:val="24"/>
        </w:rPr>
        <w:t xml:space="preserve"> </w:t>
      </w:r>
      <w:r w:rsidR="00E95E6E">
        <w:rPr>
          <w:rFonts w:ascii="Times New Roman" w:hAnsi="Times New Roman" w:cs="Times New Roman"/>
          <w:sz w:val="24"/>
          <w:szCs w:val="24"/>
        </w:rPr>
        <w:t>making differentiating the two perilously difficult.</w:t>
      </w:r>
      <w:r w:rsidR="0085106A">
        <w:rPr>
          <w:rFonts w:ascii="Times New Roman" w:hAnsi="Times New Roman" w:cs="Times New Roman"/>
          <w:sz w:val="24"/>
          <w:szCs w:val="24"/>
        </w:rPr>
        <w:t xml:space="preserve"> Mark Atwood Lawrence</w:t>
      </w:r>
      <w:r w:rsidR="00E95E6E">
        <w:rPr>
          <w:rFonts w:ascii="Times New Roman" w:hAnsi="Times New Roman" w:cs="Times New Roman"/>
          <w:sz w:val="24"/>
          <w:szCs w:val="24"/>
        </w:rPr>
        <w:t xml:space="preserve"> attempts to provide an answer to the conflict’s nature,</w:t>
      </w:r>
      <w:r w:rsidR="0085106A">
        <w:rPr>
          <w:rFonts w:ascii="Times New Roman" w:hAnsi="Times New Roman" w:cs="Times New Roman"/>
          <w:sz w:val="24"/>
          <w:szCs w:val="24"/>
        </w:rPr>
        <w:t xml:space="preserve"> argu</w:t>
      </w:r>
      <w:r w:rsidR="00E95E6E">
        <w:rPr>
          <w:rFonts w:ascii="Times New Roman" w:hAnsi="Times New Roman" w:cs="Times New Roman"/>
          <w:sz w:val="24"/>
          <w:szCs w:val="24"/>
        </w:rPr>
        <w:t>ing</w:t>
      </w:r>
      <w:r w:rsidR="0085106A">
        <w:rPr>
          <w:rFonts w:ascii="Times New Roman" w:hAnsi="Times New Roman" w:cs="Times New Roman"/>
          <w:sz w:val="24"/>
          <w:szCs w:val="24"/>
        </w:rPr>
        <w:t xml:space="preserve"> that </w:t>
      </w:r>
      <w:r w:rsidR="00E95E6E">
        <w:rPr>
          <w:rFonts w:ascii="Times New Roman" w:hAnsi="Times New Roman" w:cs="Times New Roman"/>
          <w:sz w:val="24"/>
          <w:szCs w:val="24"/>
        </w:rPr>
        <w:t xml:space="preserve">the conflict was both a civil war </w:t>
      </w:r>
      <w:r w:rsidR="00E95E6E" w:rsidRPr="00E95E6E">
        <w:rPr>
          <w:rFonts w:ascii="Times New Roman" w:hAnsi="Times New Roman" w:cs="Times New Roman"/>
          <w:i/>
          <w:sz w:val="24"/>
          <w:szCs w:val="24"/>
        </w:rPr>
        <w:t>and</w:t>
      </w:r>
      <w:r w:rsidR="00E95E6E">
        <w:rPr>
          <w:rFonts w:ascii="Times New Roman" w:hAnsi="Times New Roman" w:cs="Times New Roman"/>
          <w:sz w:val="24"/>
          <w:szCs w:val="24"/>
        </w:rPr>
        <w:t xml:space="preserve"> an invasion.</w:t>
      </w:r>
      <w:r w:rsidR="00E95E6E">
        <w:rPr>
          <w:rStyle w:val="FootnoteReference"/>
          <w:rFonts w:ascii="Times New Roman" w:hAnsi="Times New Roman" w:cs="Times New Roman"/>
          <w:sz w:val="24"/>
          <w:szCs w:val="24"/>
        </w:rPr>
        <w:footnoteReference w:id="175"/>
      </w:r>
      <w:r w:rsidR="00E95E6E">
        <w:rPr>
          <w:rFonts w:ascii="Times New Roman" w:hAnsi="Times New Roman" w:cs="Times New Roman"/>
          <w:sz w:val="24"/>
          <w:szCs w:val="24"/>
        </w:rPr>
        <w:t xml:space="preserve"> In any case</w:t>
      </w:r>
      <w:r w:rsidR="003753E9">
        <w:rPr>
          <w:rFonts w:ascii="Times New Roman" w:hAnsi="Times New Roman" w:cs="Times New Roman"/>
          <w:sz w:val="24"/>
          <w:szCs w:val="24"/>
        </w:rPr>
        <w:t xml:space="preserve">, the war in question begins in 1960 with </w:t>
      </w:r>
      <w:r w:rsidR="009C49BE">
        <w:rPr>
          <w:rFonts w:ascii="Times New Roman" w:hAnsi="Times New Roman" w:cs="Times New Roman"/>
          <w:sz w:val="24"/>
          <w:szCs w:val="24"/>
        </w:rPr>
        <w:t xml:space="preserve">the formation of the NLF from residual elements who had defeated the French. At Hanoi’s insistence, the war took on the character of a rural insurgency, slowly building up strength and </w:t>
      </w:r>
      <w:r w:rsidR="0085106A">
        <w:rPr>
          <w:rFonts w:ascii="Times New Roman" w:hAnsi="Times New Roman" w:cs="Times New Roman"/>
          <w:sz w:val="24"/>
          <w:szCs w:val="24"/>
        </w:rPr>
        <w:t>replacing local administrators and administration.</w:t>
      </w:r>
      <w:r w:rsidR="0085106A">
        <w:rPr>
          <w:rStyle w:val="FootnoteReference"/>
          <w:rFonts w:ascii="Times New Roman" w:hAnsi="Times New Roman" w:cs="Times New Roman"/>
          <w:sz w:val="24"/>
          <w:szCs w:val="24"/>
        </w:rPr>
        <w:footnoteReference w:id="176"/>
      </w:r>
      <w:r w:rsidR="0085106A">
        <w:rPr>
          <w:rFonts w:ascii="Times New Roman" w:hAnsi="Times New Roman" w:cs="Times New Roman"/>
          <w:sz w:val="24"/>
          <w:szCs w:val="24"/>
        </w:rPr>
        <w:t xml:space="preserve"> </w:t>
      </w:r>
    </w:p>
    <w:p w14:paraId="6CE06A60" w14:textId="77777777" w:rsidR="007F7E4B" w:rsidRDefault="008750B2">
      <w:pPr>
        <w:rPr>
          <w:rFonts w:ascii="Times New Roman" w:hAnsi="Times New Roman" w:cs="Times New Roman"/>
          <w:sz w:val="24"/>
          <w:szCs w:val="24"/>
        </w:rPr>
      </w:pPr>
      <w:r>
        <w:rPr>
          <w:rFonts w:ascii="Times New Roman" w:hAnsi="Times New Roman" w:cs="Times New Roman"/>
          <w:b/>
          <w:sz w:val="24"/>
          <w:szCs w:val="24"/>
        </w:rPr>
        <w:tab/>
      </w:r>
      <w:r w:rsidR="00E37E46">
        <w:rPr>
          <w:rFonts w:ascii="Times New Roman" w:hAnsi="Times New Roman" w:cs="Times New Roman"/>
          <w:sz w:val="24"/>
          <w:szCs w:val="24"/>
        </w:rPr>
        <w:t>In the beginning, the movement sought to co-opt local grievances against South Vietnam’s government, aiding dissident villages in separating themselves from the government by replacing official administration.</w:t>
      </w:r>
      <w:r w:rsidR="007F7E4B">
        <w:rPr>
          <w:rFonts w:ascii="Times New Roman" w:hAnsi="Times New Roman" w:cs="Times New Roman"/>
          <w:sz w:val="24"/>
          <w:szCs w:val="24"/>
        </w:rPr>
        <w:t xml:space="preserve"> Each VC cadre achieved this in a slightly different manner, </w:t>
      </w:r>
      <w:r w:rsidR="007F7E4B">
        <w:rPr>
          <w:rFonts w:ascii="Times New Roman" w:hAnsi="Times New Roman" w:cs="Times New Roman"/>
          <w:sz w:val="24"/>
          <w:szCs w:val="24"/>
        </w:rPr>
        <w:lastRenderedPageBreak/>
        <w:t>as its decentralized organization allowed each cadre to tailor policies to the village in question.</w:t>
      </w:r>
      <w:r w:rsidR="007F7E4B">
        <w:rPr>
          <w:rStyle w:val="FootnoteReference"/>
          <w:rFonts w:ascii="Times New Roman" w:hAnsi="Times New Roman" w:cs="Times New Roman"/>
          <w:sz w:val="24"/>
          <w:szCs w:val="24"/>
        </w:rPr>
        <w:footnoteReference w:id="177"/>
      </w:r>
      <w:r w:rsidR="007F7E4B">
        <w:rPr>
          <w:rFonts w:ascii="Times New Roman" w:hAnsi="Times New Roman" w:cs="Times New Roman"/>
          <w:sz w:val="24"/>
          <w:szCs w:val="24"/>
        </w:rPr>
        <w:t xml:space="preserve"> There are some consistent patterns</w:t>
      </w:r>
      <w:r w:rsidR="007C0795">
        <w:rPr>
          <w:rFonts w:ascii="Times New Roman" w:hAnsi="Times New Roman" w:cs="Times New Roman"/>
          <w:sz w:val="24"/>
          <w:szCs w:val="24"/>
        </w:rPr>
        <w:t xml:space="preserve"> across the conflict</w:t>
      </w:r>
      <w:r w:rsidR="007F7E4B">
        <w:rPr>
          <w:rFonts w:ascii="Times New Roman" w:hAnsi="Times New Roman" w:cs="Times New Roman"/>
          <w:sz w:val="24"/>
          <w:szCs w:val="24"/>
        </w:rPr>
        <w:t>, however.</w:t>
      </w:r>
    </w:p>
    <w:p w14:paraId="785DE6A6" w14:textId="77777777" w:rsidR="008750B2" w:rsidRDefault="007F7E4B">
      <w:pPr>
        <w:rPr>
          <w:rFonts w:ascii="Times New Roman" w:hAnsi="Times New Roman" w:cs="Times New Roman"/>
          <w:sz w:val="24"/>
          <w:szCs w:val="24"/>
        </w:rPr>
      </w:pPr>
      <w:r>
        <w:rPr>
          <w:rFonts w:ascii="Times New Roman" w:hAnsi="Times New Roman" w:cs="Times New Roman"/>
          <w:sz w:val="24"/>
          <w:szCs w:val="24"/>
        </w:rPr>
        <w:tab/>
        <w:t>For instance, alongside aggressive land reform</w:t>
      </w:r>
      <w:r w:rsidR="001668AF">
        <w:rPr>
          <w:rFonts w:ascii="Times New Roman" w:hAnsi="Times New Roman" w:cs="Times New Roman"/>
          <w:sz w:val="24"/>
          <w:szCs w:val="24"/>
        </w:rPr>
        <w:t>,</w:t>
      </w:r>
      <w:r>
        <w:rPr>
          <w:rStyle w:val="FootnoteReference"/>
          <w:rFonts w:ascii="Times New Roman" w:hAnsi="Times New Roman" w:cs="Times New Roman"/>
          <w:sz w:val="24"/>
          <w:szCs w:val="24"/>
        </w:rPr>
        <w:footnoteReference w:id="178"/>
      </w:r>
      <w:r>
        <w:rPr>
          <w:rFonts w:ascii="Times New Roman" w:hAnsi="Times New Roman" w:cs="Times New Roman"/>
          <w:sz w:val="24"/>
          <w:szCs w:val="24"/>
        </w:rPr>
        <w:t xml:space="preserve"> VC</w:t>
      </w:r>
      <w:r w:rsidR="001668AF">
        <w:rPr>
          <w:rFonts w:ascii="Times New Roman" w:hAnsi="Times New Roman" w:cs="Times New Roman"/>
          <w:sz w:val="24"/>
          <w:szCs w:val="24"/>
        </w:rPr>
        <w:t xml:space="preserve"> taxes were voluntary in the early 1960s. However, this would not last, as the VC’s plans involved transitioning from asking for support to demanding it.</w:t>
      </w:r>
      <w:r w:rsidR="001668AF">
        <w:rPr>
          <w:rStyle w:val="FootnoteReference"/>
          <w:rFonts w:ascii="Times New Roman" w:hAnsi="Times New Roman" w:cs="Times New Roman"/>
          <w:sz w:val="24"/>
          <w:szCs w:val="24"/>
        </w:rPr>
        <w:footnoteReference w:id="179"/>
      </w:r>
      <w:r w:rsidR="001668AF">
        <w:rPr>
          <w:rFonts w:ascii="Times New Roman" w:hAnsi="Times New Roman" w:cs="Times New Roman"/>
          <w:sz w:val="24"/>
          <w:szCs w:val="24"/>
        </w:rPr>
        <w:t xml:space="preserve"> Beyond making taxes compulsory, the first exercises in direct control were the targeting of potential critics of the revolution—essentially, anyone with the moral fortitude and public standing to stand up to the VC. By doing this, the VC slowly eroded Vietnam’s villages from resisting the revolution.</w:t>
      </w:r>
      <w:r w:rsidR="001668AF">
        <w:rPr>
          <w:rStyle w:val="FootnoteReference"/>
          <w:rFonts w:ascii="Times New Roman" w:hAnsi="Times New Roman" w:cs="Times New Roman"/>
          <w:sz w:val="24"/>
          <w:szCs w:val="24"/>
        </w:rPr>
        <w:footnoteReference w:id="180"/>
      </w:r>
    </w:p>
    <w:p w14:paraId="45665F39" w14:textId="77777777" w:rsidR="00CA5334" w:rsidRDefault="001668AF">
      <w:pPr>
        <w:rPr>
          <w:rFonts w:ascii="Times New Roman" w:hAnsi="Times New Roman" w:cs="Times New Roman"/>
          <w:sz w:val="24"/>
          <w:szCs w:val="24"/>
        </w:rPr>
      </w:pPr>
      <w:r>
        <w:rPr>
          <w:rFonts w:ascii="Times New Roman" w:hAnsi="Times New Roman" w:cs="Times New Roman"/>
          <w:sz w:val="24"/>
          <w:szCs w:val="24"/>
        </w:rPr>
        <w:tab/>
      </w:r>
      <w:r w:rsidR="009D2141">
        <w:rPr>
          <w:rFonts w:ascii="Times New Roman" w:hAnsi="Times New Roman" w:cs="Times New Roman"/>
          <w:sz w:val="24"/>
          <w:szCs w:val="24"/>
        </w:rPr>
        <w:t>To further undermine traditional ties in favor of communal or party ones, VC cadres also provided clinics and schools in villages they controlled.</w:t>
      </w:r>
      <w:r w:rsidR="009D2141">
        <w:rPr>
          <w:rStyle w:val="FootnoteReference"/>
          <w:rFonts w:ascii="Times New Roman" w:hAnsi="Times New Roman" w:cs="Times New Roman"/>
          <w:sz w:val="24"/>
          <w:szCs w:val="24"/>
        </w:rPr>
        <w:footnoteReference w:id="181"/>
      </w:r>
      <w:r w:rsidR="009D2141">
        <w:rPr>
          <w:rFonts w:ascii="Times New Roman" w:hAnsi="Times New Roman" w:cs="Times New Roman"/>
          <w:sz w:val="24"/>
          <w:szCs w:val="24"/>
        </w:rPr>
        <w:t xml:space="preserve"> This encouraged villagers to rely on the parties, but it also served as a propaganda dispensary and symbol.</w:t>
      </w:r>
      <w:r w:rsidR="000408B4">
        <w:rPr>
          <w:rFonts w:ascii="Times New Roman" w:hAnsi="Times New Roman" w:cs="Times New Roman"/>
          <w:sz w:val="24"/>
          <w:szCs w:val="24"/>
        </w:rPr>
        <w:t xml:space="preserve"> The political education in schools constituted one element of thi</w:t>
      </w:r>
      <w:r w:rsidR="00CA5334">
        <w:rPr>
          <w:rFonts w:ascii="Times New Roman" w:hAnsi="Times New Roman" w:cs="Times New Roman"/>
          <w:sz w:val="24"/>
          <w:szCs w:val="24"/>
        </w:rPr>
        <w:t>s. Also, in organizing its medical council, the South Vietnamese communists were able to urge the government to aid in stamping out cholera epidemics, claiming in this case to transcend the conflict and emphasize the importance of saving lives</w:t>
      </w:r>
      <w:r w:rsidR="00102B23">
        <w:rPr>
          <w:rFonts w:ascii="Times New Roman" w:hAnsi="Times New Roman" w:cs="Times New Roman"/>
          <w:sz w:val="24"/>
          <w:szCs w:val="24"/>
        </w:rPr>
        <w:t>,</w:t>
      </w:r>
      <w:r w:rsidR="00CA5334">
        <w:rPr>
          <w:rStyle w:val="FootnoteReference"/>
          <w:rFonts w:ascii="Times New Roman" w:hAnsi="Times New Roman" w:cs="Times New Roman"/>
          <w:sz w:val="24"/>
          <w:szCs w:val="24"/>
        </w:rPr>
        <w:footnoteReference w:id="182"/>
      </w:r>
      <w:r w:rsidR="00102B23">
        <w:rPr>
          <w:rFonts w:ascii="Times New Roman" w:hAnsi="Times New Roman" w:cs="Times New Roman"/>
          <w:sz w:val="24"/>
          <w:szCs w:val="24"/>
        </w:rPr>
        <w:t xml:space="preserve"> even as VC cadres attacked government workers sent to control outbreaks of malaria.</w:t>
      </w:r>
      <w:r w:rsidR="00102B23">
        <w:rPr>
          <w:rStyle w:val="FootnoteReference"/>
          <w:rFonts w:ascii="Times New Roman" w:hAnsi="Times New Roman" w:cs="Times New Roman"/>
          <w:sz w:val="24"/>
          <w:szCs w:val="24"/>
        </w:rPr>
        <w:footnoteReference w:id="183"/>
      </w:r>
      <w:r w:rsidR="001734A6">
        <w:rPr>
          <w:rFonts w:ascii="Times New Roman" w:hAnsi="Times New Roman" w:cs="Times New Roman"/>
          <w:sz w:val="24"/>
          <w:szCs w:val="24"/>
        </w:rPr>
        <w:t xml:space="preserve"> Actual provision, particularly of medical care, was less impressive than the propaganda it generated.</w:t>
      </w:r>
      <w:r w:rsidR="001734A6">
        <w:rPr>
          <w:rStyle w:val="FootnoteReference"/>
          <w:rFonts w:ascii="Times New Roman" w:hAnsi="Times New Roman" w:cs="Times New Roman"/>
          <w:sz w:val="24"/>
          <w:szCs w:val="24"/>
        </w:rPr>
        <w:footnoteReference w:id="184"/>
      </w:r>
      <w:r w:rsidR="001734A6">
        <w:rPr>
          <w:rFonts w:ascii="Times New Roman" w:hAnsi="Times New Roman" w:cs="Times New Roman"/>
          <w:sz w:val="24"/>
          <w:szCs w:val="24"/>
        </w:rPr>
        <w:t xml:space="preserve"> Facilities often had insufficient medicine and qualified personnel, and </w:t>
      </w:r>
      <w:r w:rsidR="00DD0BF8">
        <w:rPr>
          <w:rFonts w:ascii="Times New Roman" w:hAnsi="Times New Roman" w:cs="Times New Roman"/>
          <w:sz w:val="24"/>
          <w:szCs w:val="24"/>
        </w:rPr>
        <w:t>the facilities themselves also had to provide healthcare for wounded fighters.</w:t>
      </w:r>
      <w:r w:rsidR="00DD0BF8">
        <w:rPr>
          <w:rStyle w:val="FootnoteReference"/>
          <w:rFonts w:ascii="Times New Roman" w:hAnsi="Times New Roman" w:cs="Times New Roman"/>
          <w:sz w:val="24"/>
          <w:szCs w:val="24"/>
        </w:rPr>
        <w:footnoteReference w:id="185"/>
      </w:r>
    </w:p>
    <w:p w14:paraId="035FDD5C" w14:textId="77777777" w:rsidR="00FD5D3D" w:rsidRDefault="00CA5334">
      <w:pPr>
        <w:rPr>
          <w:rFonts w:ascii="Times New Roman" w:hAnsi="Times New Roman" w:cs="Times New Roman"/>
          <w:sz w:val="24"/>
          <w:szCs w:val="24"/>
        </w:rPr>
      </w:pPr>
      <w:r>
        <w:rPr>
          <w:rFonts w:ascii="Times New Roman" w:hAnsi="Times New Roman" w:cs="Times New Roman"/>
          <w:sz w:val="24"/>
          <w:szCs w:val="24"/>
        </w:rPr>
        <w:tab/>
        <w:t>There were also opportunities to participate in this system. During the mid-1960s, village councils were elected and contributed to administering the villages themselves, particularly where the distribution of land was concerned.</w:t>
      </w:r>
      <w:r>
        <w:rPr>
          <w:rStyle w:val="FootnoteReference"/>
          <w:rFonts w:ascii="Times New Roman" w:hAnsi="Times New Roman" w:cs="Times New Roman"/>
          <w:sz w:val="24"/>
          <w:szCs w:val="24"/>
        </w:rPr>
        <w:footnoteReference w:id="186"/>
      </w:r>
      <w:r>
        <w:rPr>
          <w:rFonts w:ascii="Times New Roman" w:hAnsi="Times New Roman" w:cs="Times New Roman"/>
          <w:sz w:val="24"/>
          <w:szCs w:val="24"/>
        </w:rPr>
        <w:t xml:space="preserve"> Moreover, while political officers were individually vetted by high command, they often began as platoon leaders among the VC.</w:t>
      </w:r>
      <w:r>
        <w:rPr>
          <w:rStyle w:val="FootnoteReference"/>
          <w:rFonts w:ascii="Times New Roman" w:hAnsi="Times New Roman" w:cs="Times New Roman"/>
          <w:sz w:val="24"/>
          <w:szCs w:val="24"/>
        </w:rPr>
        <w:footnoteReference w:id="187"/>
      </w:r>
      <w:r w:rsidR="00FD5D3D">
        <w:rPr>
          <w:rFonts w:ascii="Times New Roman" w:hAnsi="Times New Roman" w:cs="Times New Roman"/>
          <w:sz w:val="24"/>
          <w:szCs w:val="24"/>
        </w:rPr>
        <w:tab/>
      </w:r>
    </w:p>
    <w:p w14:paraId="0FBBC91F" w14:textId="77777777" w:rsidR="002C7252" w:rsidRPr="008750B2" w:rsidRDefault="00CA5334">
      <w:pPr>
        <w:rPr>
          <w:rFonts w:ascii="Times New Roman" w:hAnsi="Times New Roman" w:cs="Times New Roman"/>
          <w:sz w:val="24"/>
          <w:szCs w:val="24"/>
        </w:rPr>
      </w:pPr>
      <w:r>
        <w:rPr>
          <w:rFonts w:ascii="Times New Roman" w:hAnsi="Times New Roman" w:cs="Times New Roman"/>
          <w:sz w:val="24"/>
          <w:szCs w:val="24"/>
        </w:rPr>
        <w:tab/>
      </w:r>
      <w:r w:rsidR="001668AF">
        <w:rPr>
          <w:rFonts w:ascii="Times New Roman" w:hAnsi="Times New Roman" w:cs="Times New Roman"/>
          <w:sz w:val="24"/>
          <w:szCs w:val="24"/>
        </w:rPr>
        <w:t>VC administration emphasized controlling villagers</w:t>
      </w:r>
      <w:r w:rsidR="00FC54E1">
        <w:rPr>
          <w:rFonts w:ascii="Times New Roman" w:hAnsi="Times New Roman" w:cs="Times New Roman"/>
          <w:sz w:val="24"/>
          <w:szCs w:val="24"/>
        </w:rPr>
        <w:t xml:space="preserve"> by way of “discriminate violence”</w:t>
      </w:r>
      <w:r w:rsidR="001668AF">
        <w:rPr>
          <w:rFonts w:ascii="Times New Roman" w:hAnsi="Times New Roman" w:cs="Times New Roman"/>
          <w:sz w:val="24"/>
          <w:szCs w:val="24"/>
        </w:rPr>
        <w:t xml:space="preserve"> as soon as they were able to do so.</w:t>
      </w:r>
      <w:r w:rsidR="00FC54E1">
        <w:rPr>
          <w:rStyle w:val="FootnoteReference"/>
          <w:rFonts w:ascii="Times New Roman" w:hAnsi="Times New Roman" w:cs="Times New Roman"/>
          <w:sz w:val="24"/>
          <w:szCs w:val="24"/>
        </w:rPr>
        <w:footnoteReference w:id="188"/>
      </w:r>
      <w:r w:rsidR="001668AF">
        <w:rPr>
          <w:rFonts w:ascii="Times New Roman" w:hAnsi="Times New Roman" w:cs="Times New Roman"/>
          <w:sz w:val="24"/>
          <w:szCs w:val="24"/>
        </w:rPr>
        <w:t xml:space="preserve"> To this end, the cadres practice</w:t>
      </w:r>
      <w:r>
        <w:rPr>
          <w:rFonts w:ascii="Times New Roman" w:hAnsi="Times New Roman" w:cs="Times New Roman"/>
          <w:sz w:val="24"/>
          <w:szCs w:val="24"/>
        </w:rPr>
        <w:t>d</w:t>
      </w:r>
      <w:r w:rsidR="001668AF">
        <w:rPr>
          <w:rFonts w:ascii="Times New Roman" w:hAnsi="Times New Roman" w:cs="Times New Roman"/>
          <w:sz w:val="24"/>
          <w:szCs w:val="24"/>
        </w:rPr>
        <w:t xml:space="preserve"> an especially brutal form of “justice,” applying heavy punishments for purported enemies of the revolution</w:t>
      </w:r>
      <w:r>
        <w:rPr>
          <w:rFonts w:ascii="Times New Roman" w:hAnsi="Times New Roman" w:cs="Times New Roman"/>
          <w:sz w:val="24"/>
          <w:szCs w:val="24"/>
        </w:rPr>
        <w:t xml:space="preserve"> by the latter half of the 1960s</w:t>
      </w:r>
      <w:r w:rsidR="001668AF">
        <w:rPr>
          <w:rFonts w:ascii="Times New Roman" w:hAnsi="Times New Roman" w:cs="Times New Roman"/>
          <w:sz w:val="24"/>
          <w:szCs w:val="24"/>
        </w:rPr>
        <w:t>.</w:t>
      </w:r>
      <w:r w:rsidR="001668AF">
        <w:rPr>
          <w:rStyle w:val="FootnoteReference"/>
          <w:rFonts w:ascii="Times New Roman" w:hAnsi="Times New Roman" w:cs="Times New Roman"/>
          <w:sz w:val="24"/>
          <w:szCs w:val="24"/>
        </w:rPr>
        <w:footnoteReference w:id="189"/>
      </w:r>
      <w:r>
        <w:rPr>
          <w:rFonts w:ascii="Times New Roman" w:hAnsi="Times New Roman" w:cs="Times New Roman"/>
          <w:sz w:val="24"/>
          <w:szCs w:val="24"/>
        </w:rPr>
        <w:t xml:space="preserve"> </w:t>
      </w:r>
      <w:r w:rsidR="006B12AE">
        <w:rPr>
          <w:rFonts w:ascii="Times New Roman" w:hAnsi="Times New Roman" w:cs="Times New Roman"/>
          <w:sz w:val="24"/>
          <w:szCs w:val="24"/>
        </w:rPr>
        <w:t xml:space="preserve">This was a continuation of the NLF’s early legitimations for using violence. </w:t>
      </w:r>
      <w:r w:rsidR="006B12AE">
        <w:rPr>
          <w:rFonts w:ascii="Times New Roman" w:hAnsi="Times New Roman" w:cs="Times New Roman"/>
          <w:sz w:val="24"/>
          <w:szCs w:val="24"/>
        </w:rPr>
        <w:lastRenderedPageBreak/>
        <w:t>POWs were said to</w:t>
      </w:r>
      <w:r w:rsidR="000408B4">
        <w:rPr>
          <w:rFonts w:ascii="Times New Roman" w:hAnsi="Times New Roman" w:cs="Times New Roman"/>
          <w:sz w:val="24"/>
          <w:szCs w:val="24"/>
        </w:rPr>
        <w:t xml:space="preserve"> </w:t>
      </w:r>
      <w:r w:rsidR="006B12AE">
        <w:rPr>
          <w:rFonts w:ascii="Times New Roman" w:hAnsi="Times New Roman" w:cs="Times New Roman"/>
          <w:sz w:val="24"/>
          <w:szCs w:val="24"/>
        </w:rPr>
        <w:t>have been “arrested, tried, and convicted of crimes against the people” and were only released upon their “appeal for clemency.”</w:t>
      </w:r>
      <w:r w:rsidR="006B12AE">
        <w:rPr>
          <w:rStyle w:val="FootnoteReference"/>
          <w:rFonts w:ascii="Times New Roman" w:hAnsi="Times New Roman" w:cs="Times New Roman"/>
          <w:sz w:val="24"/>
          <w:szCs w:val="24"/>
        </w:rPr>
        <w:footnoteReference w:id="190"/>
      </w:r>
      <w:r w:rsidR="00A5505F">
        <w:rPr>
          <w:rFonts w:ascii="Times New Roman" w:hAnsi="Times New Roman" w:cs="Times New Roman"/>
          <w:sz w:val="24"/>
          <w:szCs w:val="24"/>
        </w:rPr>
        <w:t xml:space="preserve"> </w:t>
      </w:r>
      <w:r w:rsidR="00766E5D">
        <w:rPr>
          <w:rFonts w:ascii="Times New Roman" w:hAnsi="Times New Roman" w:cs="Times New Roman"/>
          <w:sz w:val="24"/>
          <w:szCs w:val="24"/>
        </w:rPr>
        <w:t xml:space="preserve">Within the villages, cadres used “reeducation” to punish supposed wrongdoings. Each of these euphemisms were useful—the former gave the air of legalism, the latter of mildness. However, reeducation was hardly more than an indeterminate sentence—some were never seen again while others returned ill. The accused could be defended (assuming there was a public trial), but </w:t>
      </w:r>
      <w:r w:rsidR="007C6A50">
        <w:rPr>
          <w:rFonts w:ascii="Times New Roman" w:hAnsi="Times New Roman" w:cs="Times New Roman"/>
          <w:sz w:val="24"/>
          <w:szCs w:val="24"/>
        </w:rPr>
        <w:t>villagers rarely did so, for fear that they might be implicated as well.</w:t>
      </w:r>
      <w:r w:rsidR="00766E5D">
        <w:rPr>
          <w:rStyle w:val="FootnoteReference"/>
          <w:rFonts w:ascii="Times New Roman" w:hAnsi="Times New Roman" w:cs="Times New Roman"/>
          <w:sz w:val="24"/>
          <w:szCs w:val="24"/>
        </w:rPr>
        <w:footnoteReference w:id="191"/>
      </w:r>
      <w:r w:rsidR="00766E5D">
        <w:rPr>
          <w:rFonts w:ascii="Times New Roman" w:hAnsi="Times New Roman" w:cs="Times New Roman"/>
          <w:sz w:val="24"/>
          <w:szCs w:val="24"/>
        </w:rPr>
        <w:t xml:space="preserve"> In addition to this,</w:t>
      </w:r>
      <w:r w:rsidR="00DD7BAE">
        <w:rPr>
          <w:rFonts w:ascii="Times New Roman" w:hAnsi="Times New Roman" w:cs="Times New Roman"/>
          <w:sz w:val="24"/>
          <w:szCs w:val="24"/>
        </w:rPr>
        <w:t xml:space="preserve"> </w:t>
      </w:r>
      <w:r w:rsidR="00766E5D">
        <w:rPr>
          <w:rFonts w:ascii="Times New Roman" w:hAnsi="Times New Roman" w:cs="Times New Roman"/>
          <w:sz w:val="24"/>
          <w:szCs w:val="24"/>
        </w:rPr>
        <w:t>w</w:t>
      </w:r>
      <w:r w:rsidR="00DD7BAE">
        <w:rPr>
          <w:rFonts w:ascii="Times New Roman" w:hAnsi="Times New Roman" w:cs="Times New Roman"/>
          <w:sz w:val="24"/>
          <w:szCs w:val="24"/>
        </w:rPr>
        <w:t>ithin each VC camp was a unit assigned to assist local village and hamlet level fighters in “arresting brawlers, gamblers, thieves, robbers, juvenile delinquents, and prostitutes.”</w:t>
      </w:r>
      <w:r w:rsidR="00DD7BAE">
        <w:rPr>
          <w:rStyle w:val="FootnoteReference"/>
          <w:rFonts w:ascii="Times New Roman" w:hAnsi="Times New Roman" w:cs="Times New Roman"/>
          <w:sz w:val="24"/>
          <w:szCs w:val="24"/>
        </w:rPr>
        <w:footnoteReference w:id="192"/>
      </w:r>
    </w:p>
    <w:p w14:paraId="321F74AB" w14:textId="77777777" w:rsidR="0054390C" w:rsidRDefault="0054390C">
      <w:pPr>
        <w:rPr>
          <w:rFonts w:ascii="Times New Roman" w:hAnsi="Times New Roman" w:cs="Times New Roman"/>
          <w:b/>
          <w:sz w:val="24"/>
          <w:szCs w:val="24"/>
        </w:rPr>
      </w:pPr>
      <w:r>
        <w:rPr>
          <w:rFonts w:ascii="Times New Roman" w:hAnsi="Times New Roman" w:cs="Times New Roman"/>
          <w:b/>
          <w:sz w:val="24"/>
          <w:szCs w:val="24"/>
        </w:rPr>
        <w:t>Yemen (1962-1970)</w:t>
      </w:r>
    </w:p>
    <w:p w14:paraId="7BCB85C1" w14:textId="77777777" w:rsidR="0054390C" w:rsidRDefault="0054390C" w:rsidP="0054390C">
      <w:pPr>
        <w:rPr>
          <w:rFonts w:ascii="Times New Roman" w:hAnsi="Times New Roman" w:cs="Times New Roman"/>
          <w:sz w:val="24"/>
          <w:szCs w:val="24"/>
        </w:rPr>
      </w:pPr>
      <w:r>
        <w:rPr>
          <w:rFonts w:ascii="Times New Roman" w:hAnsi="Times New Roman" w:cs="Times New Roman"/>
          <w:sz w:val="24"/>
          <w:szCs w:val="24"/>
        </w:rPr>
        <w:t xml:space="preserve">Rebels / Incumbents: </w:t>
      </w:r>
      <w:r w:rsidR="00364796">
        <w:rPr>
          <w:rFonts w:ascii="Times New Roman" w:hAnsi="Times New Roman" w:cs="Times New Roman"/>
          <w:sz w:val="24"/>
          <w:szCs w:val="24"/>
        </w:rPr>
        <w:t>Royalists</w:t>
      </w:r>
      <w:r w:rsidR="00C22F59">
        <w:rPr>
          <w:rFonts w:ascii="Times New Roman" w:hAnsi="Times New Roman" w:cs="Times New Roman"/>
          <w:sz w:val="24"/>
          <w:szCs w:val="24"/>
        </w:rPr>
        <w:t xml:space="preserve"> / </w:t>
      </w:r>
      <w:r w:rsidR="00364796">
        <w:rPr>
          <w:rFonts w:ascii="Times New Roman" w:hAnsi="Times New Roman" w:cs="Times New Roman"/>
          <w:sz w:val="24"/>
          <w:szCs w:val="24"/>
        </w:rPr>
        <w:t>Yemen Arab Republic</w:t>
      </w:r>
      <w:r w:rsidR="005F2556">
        <w:rPr>
          <w:rFonts w:ascii="Times New Roman" w:hAnsi="Times New Roman" w:cs="Times New Roman"/>
          <w:sz w:val="24"/>
          <w:szCs w:val="24"/>
        </w:rPr>
        <w:t xml:space="preserve"> (YAR)</w:t>
      </w:r>
    </w:p>
    <w:p w14:paraId="49D741D0" w14:textId="77777777" w:rsidR="0054390C" w:rsidRDefault="0054390C" w:rsidP="0054390C">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D300A5">
        <w:rPr>
          <w:rFonts w:ascii="Times New Roman" w:hAnsi="Times New Roman" w:cs="Times New Roman"/>
          <w:b/>
          <w:sz w:val="24"/>
          <w:szCs w:val="24"/>
        </w:rPr>
        <w:t>0</w:t>
      </w:r>
      <w:r w:rsidRPr="00F62BA4">
        <w:rPr>
          <w:rFonts w:ascii="Times New Roman" w:hAnsi="Times New Roman" w:cs="Times New Roman"/>
          <w:b/>
          <w:sz w:val="24"/>
          <w:szCs w:val="24"/>
        </w:rPr>
        <w:t xml:space="preserve">; Public Goods: </w:t>
      </w:r>
      <w:r w:rsidR="00D300A5">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805D5B">
        <w:rPr>
          <w:rFonts w:ascii="Times New Roman" w:hAnsi="Times New Roman" w:cs="Times New Roman"/>
          <w:b/>
          <w:sz w:val="24"/>
          <w:szCs w:val="24"/>
        </w:rPr>
        <w:t xml:space="preserve"> 0</w:t>
      </w:r>
    </w:p>
    <w:p w14:paraId="62049669" w14:textId="77777777" w:rsidR="0054390C" w:rsidRDefault="00364796">
      <w:pPr>
        <w:rPr>
          <w:rFonts w:ascii="Times New Roman" w:hAnsi="Times New Roman" w:cs="Times New Roman"/>
          <w:sz w:val="24"/>
          <w:szCs w:val="24"/>
        </w:rPr>
      </w:pPr>
      <w:r>
        <w:rPr>
          <w:rFonts w:ascii="Times New Roman" w:hAnsi="Times New Roman" w:cs="Times New Roman"/>
          <w:sz w:val="24"/>
          <w:szCs w:val="24"/>
        </w:rPr>
        <w:tab/>
        <w:t xml:space="preserve">Following a coup d’état in September of 1962, supporters of the absconded </w:t>
      </w:r>
      <w:r w:rsidR="00A53A9A">
        <w:rPr>
          <w:rFonts w:ascii="Times New Roman" w:hAnsi="Times New Roman" w:cs="Times New Roman"/>
          <w:sz w:val="24"/>
          <w:szCs w:val="24"/>
        </w:rPr>
        <w:t xml:space="preserve">Imam </w:t>
      </w:r>
      <w:proofErr w:type="spellStart"/>
      <w:r w:rsidR="00A53A9A">
        <w:rPr>
          <w:rFonts w:ascii="Times New Roman" w:hAnsi="Times New Roman" w:cs="Times New Roman"/>
          <w:sz w:val="24"/>
          <w:szCs w:val="24"/>
        </w:rPr>
        <w:t>Badr</w:t>
      </w:r>
      <w:proofErr w:type="spellEnd"/>
      <w:r w:rsidR="00A53A9A">
        <w:rPr>
          <w:rFonts w:ascii="Times New Roman" w:hAnsi="Times New Roman" w:cs="Times New Roman"/>
          <w:sz w:val="24"/>
          <w:szCs w:val="24"/>
        </w:rPr>
        <w:t>, son of the recently deceased Imam Ahmed of the Hamid-</w:t>
      </w:r>
      <w:proofErr w:type="spellStart"/>
      <w:r w:rsidR="00A53A9A">
        <w:rPr>
          <w:rFonts w:ascii="Times New Roman" w:hAnsi="Times New Roman" w:cs="Times New Roman"/>
          <w:sz w:val="24"/>
          <w:szCs w:val="24"/>
        </w:rPr>
        <w:t>ud</w:t>
      </w:r>
      <w:proofErr w:type="spellEnd"/>
      <w:r w:rsidR="00A53A9A">
        <w:rPr>
          <w:rFonts w:ascii="Times New Roman" w:hAnsi="Times New Roman" w:cs="Times New Roman"/>
          <w:sz w:val="24"/>
          <w:szCs w:val="24"/>
        </w:rPr>
        <w:t>-Din dynasty, began a war to re-establish the monarchy. The coup had been a success and the new republic was widely recognized around the world. Despite their perilous post-coup position, the Royalists were able to rely on their Saudi patrons to continue the war effort until 1970.</w:t>
      </w:r>
      <w:r w:rsidR="00A53A9A">
        <w:rPr>
          <w:rStyle w:val="FootnoteReference"/>
          <w:rFonts w:ascii="Times New Roman" w:hAnsi="Times New Roman" w:cs="Times New Roman"/>
          <w:sz w:val="24"/>
          <w:szCs w:val="24"/>
        </w:rPr>
        <w:footnoteReference w:id="193"/>
      </w:r>
    </w:p>
    <w:p w14:paraId="650B2FC8" w14:textId="77777777" w:rsidR="00C22F59" w:rsidRDefault="005F2556">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YAR also heavily relied on international patrons—specifically Egypt. After the calamitous defeat in the 6-Day War, Egypt withdrew and agreed alongside Saudi Arabia to let the war play itself out from the sidelines. With both sides unable to score ultimate victories, moderates among the Republicans and Royalists were able to negotiate a peaceful reconciliation.</w:t>
      </w:r>
      <w:r>
        <w:rPr>
          <w:rStyle w:val="FootnoteReference"/>
          <w:rFonts w:ascii="Times New Roman" w:hAnsi="Times New Roman" w:cs="Times New Roman"/>
          <w:sz w:val="24"/>
          <w:szCs w:val="24"/>
        </w:rPr>
        <w:footnoteReference w:id="194"/>
      </w:r>
    </w:p>
    <w:p w14:paraId="7934EC3C" w14:textId="77777777" w:rsidR="005F2556" w:rsidRPr="005F2556" w:rsidRDefault="005F2556">
      <w:pPr>
        <w:rPr>
          <w:rFonts w:ascii="Times New Roman" w:hAnsi="Times New Roman" w:cs="Times New Roman"/>
          <w:sz w:val="24"/>
          <w:szCs w:val="24"/>
        </w:rPr>
      </w:pPr>
      <w:r>
        <w:rPr>
          <w:rFonts w:ascii="Times New Roman" w:hAnsi="Times New Roman" w:cs="Times New Roman"/>
          <w:sz w:val="24"/>
          <w:szCs w:val="24"/>
        </w:rPr>
        <w:tab/>
        <w:t>It also appears as though there were few (if any) attempts to establish a rebel governance apparatus. Supporters of one side defected to the other at various points in time,</w:t>
      </w:r>
      <w:r>
        <w:rPr>
          <w:rStyle w:val="FootnoteReference"/>
          <w:rFonts w:ascii="Times New Roman" w:hAnsi="Times New Roman" w:cs="Times New Roman"/>
          <w:sz w:val="24"/>
          <w:szCs w:val="24"/>
        </w:rPr>
        <w:footnoteReference w:id="195"/>
      </w:r>
      <w:r>
        <w:rPr>
          <w:rFonts w:ascii="Times New Roman" w:hAnsi="Times New Roman" w:cs="Times New Roman"/>
          <w:sz w:val="24"/>
          <w:szCs w:val="24"/>
        </w:rPr>
        <w:t xml:space="preserve"> and beyond supporting or opposing the war efforts there was little relationship between belligerent and civilian, even among the new incumbents.</w:t>
      </w:r>
      <w:r w:rsidR="005A3FC6">
        <w:rPr>
          <w:rStyle w:val="FootnoteReference"/>
          <w:rFonts w:ascii="Times New Roman" w:hAnsi="Times New Roman" w:cs="Times New Roman"/>
          <w:sz w:val="24"/>
          <w:szCs w:val="24"/>
        </w:rPr>
        <w:footnoteReference w:id="196"/>
      </w:r>
      <w:r w:rsidR="005A3FC6">
        <w:rPr>
          <w:rFonts w:ascii="Times New Roman" w:hAnsi="Times New Roman" w:cs="Times New Roman"/>
          <w:sz w:val="24"/>
          <w:szCs w:val="24"/>
        </w:rPr>
        <w:t xml:space="preserve"> As such, one can conclude that the Royalists did not invest much concern in governing beyond putting Imam </w:t>
      </w:r>
      <w:proofErr w:type="spellStart"/>
      <w:r w:rsidR="005A3FC6">
        <w:rPr>
          <w:rFonts w:ascii="Times New Roman" w:hAnsi="Times New Roman" w:cs="Times New Roman"/>
          <w:sz w:val="24"/>
          <w:szCs w:val="24"/>
        </w:rPr>
        <w:t>Badr</w:t>
      </w:r>
      <w:proofErr w:type="spellEnd"/>
      <w:r w:rsidR="005A3FC6">
        <w:rPr>
          <w:rFonts w:ascii="Times New Roman" w:hAnsi="Times New Roman" w:cs="Times New Roman"/>
          <w:sz w:val="24"/>
          <w:szCs w:val="24"/>
        </w:rPr>
        <w:t xml:space="preserve"> back on the throne.</w:t>
      </w:r>
    </w:p>
    <w:p w14:paraId="7E57BF2A" w14:textId="77777777" w:rsidR="0054390C" w:rsidRDefault="0054390C">
      <w:pPr>
        <w:rPr>
          <w:rFonts w:ascii="Times New Roman" w:hAnsi="Times New Roman" w:cs="Times New Roman"/>
          <w:b/>
          <w:sz w:val="24"/>
          <w:szCs w:val="24"/>
        </w:rPr>
      </w:pPr>
      <w:r>
        <w:rPr>
          <w:rFonts w:ascii="Times New Roman" w:hAnsi="Times New Roman" w:cs="Times New Roman"/>
          <w:b/>
          <w:sz w:val="24"/>
          <w:szCs w:val="24"/>
        </w:rPr>
        <w:t>Zimbabwe (1972-1979)</w:t>
      </w:r>
    </w:p>
    <w:p w14:paraId="074DBAC1" w14:textId="77777777" w:rsidR="0054390C" w:rsidRDefault="0054390C" w:rsidP="0054390C">
      <w:pPr>
        <w:rPr>
          <w:rFonts w:ascii="Times New Roman" w:hAnsi="Times New Roman" w:cs="Times New Roman"/>
          <w:sz w:val="24"/>
          <w:szCs w:val="24"/>
        </w:rPr>
      </w:pPr>
      <w:r>
        <w:rPr>
          <w:rFonts w:ascii="Times New Roman" w:hAnsi="Times New Roman" w:cs="Times New Roman"/>
          <w:sz w:val="24"/>
          <w:szCs w:val="24"/>
        </w:rPr>
        <w:lastRenderedPageBreak/>
        <w:t xml:space="preserve">Rebels / Incumbents: </w:t>
      </w:r>
      <w:r w:rsidR="00362FA8">
        <w:rPr>
          <w:rFonts w:ascii="Times New Roman" w:hAnsi="Times New Roman" w:cs="Times New Roman"/>
          <w:sz w:val="24"/>
          <w:szCs w:val="24"/>
        </w:rPr>
        <w:t>Zimbabwe African National Union (ZANU), Zimbabwe African People’s Union (ZAPU) / Rhodesia</w:t>
      </w:r>
    </w:p>
    <w:p w14:paraId="4C022167" w14:textId="5B6D49EC" w:rsidR="0054390C" w:rsidRDefault="0054390C" w:rsidP="0054390C">
      <w:pPr>
        <w:rPr>
          <w:rFonts w:ascii="Times New Roman" w:hAnsi="Times New Roman" w:cs="Times New Roman"/>
          <w:b/>
          <w:sz w:val="24"/>
          <w:szCs w:val="24"/>
        </w:rPr>
      </w:pPr>
      <w:r w:rsidRPr="00F62BA4">
        <w:rPr>
          <w:rFonts w:ascii="Times New Roman" w:hAnsi="Times New Roman" w:cs="Times New Roman"/>
          <w:b/>
          <w:sz w:val="24"/>
          <w:szCs w:val="24"/>
        </w:rPr>
        <w:t>Polic</w:t>
      </w:r>
      <w:r>
        <w:rPr>
          <w:rFonts w:ascii="Times New Roman" w:hAnsi="Times New Roman" w:cs="Times New Roman"/>
          <w:b/>
          <w:sz w:val="24"/>
          <w:szCs w:val="24"/>
        </w:rPr>
        <w:t>ing</w:t>
      </w:r>
      <w:r w:rsidRPr="00F62BA4">
        <w:rPr>
          <w:rFonts w:ascii="Times New Roman" w:hAnsi="Times New Roman" w:cs="Times New Roman"/>
          <w:b/>
          <w:sz w:val="24"/>
          <w:szCs w:val="24"/>
        </w:rPr>
        <w:t>/Ju</w:t>
      </w:r>
      <w:r>
        <w:rPr>
          <w:rFonts w:ascii="Times New Roman" w:hAnsi="Times New Roman" w:cs="Times New Roman"/>
          <w:b/>
          <w:sz w:val="24"/>
          <w:szCs w:val="24"/>
        </w:rPr>
        <w:t>ridical</w:t>
      </w:r>
      <w:r w:rsidRPr="00F62BA4">
        <w:rPr>
          <w:rFonts w:ascii="Times New Roman" w:hAnsi="Times New Roman" w:cs="Times New Roman"/>
          <w:b/>
          <w:sz w:val="24"/>
          <w:szCs w:val="24"/>
        </w:rPr>
        <w:t xml:space="preserve">: </w:t>
      </w:r>
      <w:r w:rsidR="004B0680">
        <w:rPr>
          <w:rFonts w:ascii="Times New Roman" w:hAnsi="Times New Roman" w:cs="Times New Roman"/>
          <w:b/>
          <w:sz w:val="24"/>
          <w:szCs w:val="24"/>
        </w:rPr>
        <w:t>1</w:t>
      </w:r>
      <w:r w:rsidRPr="00F62BA4">
        <w:rPr>
          <w:rFonts w:ascii="Times New Roman" w:hAnsi="Times New Roman" w:cs="Times New Roman"/>
          <w:b/>
          <w:sz w:val="24"/>
          <w:szCs w:val="24"/>
        </w:rPr>
        <w:t xml:space="preserve">; Public Goods: </w:t>
      </w:r>
      <w:r w:rsidR="00621857">
        <w:rPr>
          <w:rFonts w:ascii="Times New Roman" w:hAnsi="Times New Roman" w:cs="Times New Roman"/>
          <w:b/>
          <w:sz w:val="24"/>
          <w:szCs w:val="24"/>
        </w:rPr>
        <w:t>1</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w:t>
      </w:r>
      <w:r w:rsidRPr="00F62BA4">
        <w:rPr>
          <w:rFonts w:ascii="Times New Roman" w:hAnsi="Times New Roman" w:cs="Times New Roman"/>
          <w:b/>
          <w:sz w:val="24"/>
          <w:szCs w:val="24"/>
        </w:rPr>
        <w:t xml:space="preserve"> </w:t>
      </w:r>
      <w:r>
        <w:rPr>
          <w:rFonts w:ascii="Times New Roman" w:hAnsi="Times New Roman" w:cs="Times New Roman"/>
          <w:b/>
          <w:sz w:val="24"/>
          <w:szCs w:val="24"/>
        </w:rPr>
        <w:t>Instruments</w:t>
      </w:r>
      <w:r w:rsidRPr="00F62BA4">
        <w:rPr>
          <w:rFonts w:ascii="Times New Roman" w:hAnsi="Times New Roman" w:cs="Times New Roman"/>
          <w:b/>
          <w:sz w:val="24"/>
          <w:szCs w:val="24"/>
        </w:rPr>
        <w:t>:</w:t>
      </w:r>
      <w:r w:rsidR="007B77B4">
        <w:rPr>
          <w:rFonts w:ascii="Times New Roman" w:hAnsi="Times New Roman" w:cs="Times New Roman"/>
          <w:b/>
          <w:sz w:val="24"/>
          <w:szCs w:val="24"/>
        </w:rPr>
        <w:t xml:space="preserve"> 1</w:t>
      </w:r>
    </w:p>
    <w:p w14:paraId="08C85B77" w14:textId="77777777" w:rsidR="0054390C" w:rsidRDefault="00362FA8">
      <w:pPr>
        <w:rPr>
          <w:rFonts w:ascii="Times New Roman" w:hAnsi="Times New Roman" w:cs="Times New Roman"/>
          <w:sz w:val="24"/>
          <w:szCs w:val="24"/>
        </w:rPr>
      </w:pPr>
      <w:r>
        <w:rPr>
          <w:rFonts w:ascii="Times New Roman" w:hAnsi="Times New Roman" w:cs="Times New Roman"/>
          <w:sz w:val="24"/>
          <w:szCs w:val="24"/>
        </w:rPr>
        <w:tab/>
        <w:t>During the 1950s and 1960s, African leaders sought to overturn</w:t>
      </w:r>
      <w:r w:rsidR="0078673B">
        <w:rPr>
          <w:rFonts w:ascii="Times New Roman" w:hAnsi="Times New Roman" w:cs="Times New Roman"/>
          <w:sz w:val="24"/>
          <w:szCs w:val="24"/>
        </w:rPr>
        <w:t xml:space="preserve"> Rhodesia’s racist constitution which guaranteed rule by its white minority</w:t>
      </w:r>
      <w:r>
        <w:rPr>
          <w:rFonts w:ascii="Times New Roman" w:hAnsi="Times New Roman" w:cs="Times New Roman"/>
          <w:sz w:val="24"/>
          <w:szCs w:val="24"/>
        </w:rPr>
        <w:t xml:space="preserve">. </w:t>
      </w:r>
      <w:r w:rsidR="0078673B">
        <w:rPr>
          <w:rFonts w:ascii="Times New Roman" w:hAnsi="Times New Roman" w:cs="Times New Roman"/>
          <w:sz w:val="24"/>
          <w:szCs w:val="24"/>
        </w:rPr>
        <w:t>Their efforts were non-violent, relying on a political process to deliver the desired result. The Rhodesian government responded by banning nationalist organizations and by imprisoning their leadership.</w:t>
      </w:r>
      <w:r w:rsidR="0078673B">
        <w:rPr>
          <w:rStyle w:val="FootnoteReference"/>
          <w:rFonts w:ascii="Times New Roman" w:hAnsi="Times New Roman" w:cs="Times New Roman"/>
          <w:sz w:val="24"/>
          <w:szCs w:val="24"/>
        </w:rPr>
        <w:footnoteReference w:id="197"/>
      </w:r>
      <w:r w:rsidR="00676EE6">
        <w:rPr>
          <w:rFonts w:ascii="Times New Roman" w:hAnsi="Times New Roman" w:cs="Times New Roman"/>
          <w:sz w:val="24"/>
          <w:szCs w:val="24"/>
        </w:rPr>
        <w:t xml:space="preserve"> These groups (ZANU and ZAPU) eventually resorted to using force of arms to challenge the regime.</w:t>
      </w:r>
    </w:p>
    <w:p w14:paraId="09699F0E" w14:textId="77777777" w:rsidR="00676EE6" w:rsidRDefault="00676EE6">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Rhodesian </w:t>
      </w:r>
      <w:r w:rsidR="002D5BC4">
        <w:rPr>
          <w:rFonts w:ascii="Times New Roman" w:hAnsi="Times New Roman" w:cs="Times New Roman"/>
          <w:sz w:val="24"/>
          <w:szCs w:val="24"/>
        </w:rPr>
        <w:t>forces inflicted enormous suffering on Zimbabwe’s population. With aid from South Africa, they targeted the civilian population with their air force.</w:t>
      </w:r>
      <w:r w:rsidR="002D5BC4">
        <w:rPr>
          <w:rStyle w:val="FootnoteReference"/>
          <w:rFonts w:ascii="Times New Roman" w:hAnsi="Times New Roman" w:cs="Times New Roman"/>
          <w:sz w:val="24"/>
          <w:szCs w:val="24"/>
        </w:rPr>
        <w:footnoteReference w:id="198"/>
      </w:r>
      <w:r w:rsidR="002D5BC4">
        <w:rPr>
          <w:rFonts w:ascii="Times New Roman" w:hAnsi="Times New Roman" w:cs="Times New Roman"/>
          <w:sz w:val="24"/>
          <w:szCs w:val="24"/>
        </w:rPr>
        <w:t xml:space="preserve"> They also instituted a policy of “protected villages”</w:t>
      </w:r>
      <w:r w:rsidR="002D5BC4">
        <w:rPr>
          <w:rStyle w:val="FootnoteReference"/>
          <w:rFonts w:ascii="Times New Roman" w:hAnsi="Times New Roman" w:cs="Times New Roman"/>
          <w:sz w:val="24"/>
          <w:szCs w:val="24"/>
        </w:rPr>
        <w:footnoteReference w:id="199"/>
      </w:r>
      <w:r w:rsidR="002D5BC4">
        <w:rPr>
          <w:rFonts w:ascii="Times New Roman" w:hAnsi="Times New Roman" w:cs="Times New Roman"/>
          <w:sz w:val="24"/>
          <w:szCs w:val="24"/>
        </w:rPr>
        <w:t xml:space="preserve"> in which civilians were spared from the bombardment, but at a heavy cost. Disease was rampant, food was scarce, housing consisted of corrugated metal which conducted heat during the day but provided little shelter at night,</w:t>
      </w:r>
      <w:r w:rsidR="005A39DB">
        <w:rPr>
          <w:rFonts w:ascii="Times New Roman" w:hAnsi="Times New Roman" w:cs="Times New Roman"/>
          <w:sz w:val="24"/>
          <w:szCs w:val="24"/>
        </w:rPr>
        <w:t xml:space="preserve"> women and girls were subject to sexual assaults by the guards,</w:t>
      </w:r>
      <w:r w:rsidR="002D5BC4">
        <w:rPr>
          <w:rFonts w:ascii="Times New Roman" w:hAnsi="Times New Roman" w:cs="Times New Roman"/>
          <w:sz w:val="24"/>
          <w:szCs w:val="24"/>
        </w:rPr>
        <w:t xml:space="preserve"> and all who were able were compelled to till the fields without pay.</w:t>
      </w:r>
      <w:r w:rsidR="002D5BC4">
        <w:rPr>
          <w:rStyle w:val="FootnoteReference"/>
          <w:rFonts w:ascii="Times New Roman" w:hAnsi="Times New Roman" w:cs="Times New Roman"/>
          <w:sz w:val="24"/>
          <w:szCs w:val="24"/>
        </w:rPr>
        <w:footnoteReference w:id="200"/>
      </w:r>
      <w:r w:rsidR="002D5BC4">
        <w:rPr>
          <w:rFonts w:ascii="Times New Roman" w:hAnsi="Times New Roman" w:cs="Times New Roman"/>
          <w:sz w:val="24"/>
          <w:szCs w:val="24"/>
        </w:rPr>
        <w:t xml:space="preserve"> To make matters worse, strict curfews were adopted, after which anyone found outside was shot. Many had difficulty following the curfew as time pieces were in short supply.</w:t>
      </w:r>
      <w:r w:rsidR="002D5BC4">
        <w:rPr>
          <w:rStyle w:val="FootnoteReference"/>
          <w:rFonts w:ascii="Times New Roman" w:hAnsi="Times New Roman" w:cs="Times New Roman"/>
          <w:sz w:val="24"/>
          <w:szCs w:val="24"/>
        </w:rPr>
        <w:footnoteReference w:id="201"/>
      </w:r>
      <w:r w:rsidR="00AC30CE">
        <w:rPr>
          <w:rFonts w:ascii="Times New Roman" w:hAnsi="Times New Roman" w:cs="Times New Roman"/>
          <w:sz w:val="24"/>
          <w:szCs w:val="24"/>
        </w:rPr>
        <w:t xml:space="preserve"> Among other things, these measures made operating within Rhodesia quite difficult for ZANU and ZAPU guerillas.</w:t>
      </w:r>
    </w:p>
    <w:p w14:paraId="34077FC1" w14:textId="77777777" w:rsidR="004C700A" w:rsidRDefault="00AC30CE" w:rsidP="00AC30CE">
      <w:pPr>
        <w:rPr>
          <w:rFonts w:ascii="Times New Roman" w:hAnsi="Times New Roman" w:cs="Times New Roman"/>
          <w:sz w:val="24"/>
          <w:szCs w:val="24"/>
        </w:rPr>
      </w:pPr>
      <w:r>
        <w:rPr>
          <w:rFonts w:ascii="Times New Roman" w:hAnsi="Times New Roman" w:cs="Times New Roman"/>
          <w:sz w:val="24"/>
          <w:szCs w:val="24"/>
        </w:rPr>
        <w:tab/>
        <w:t>Despite this, they were able to establish some bases within Rhodesia in 1973 although they continued to rely on operations which began outside Rhodesia’s borders.</w:t>
      </w:r>
      <w:r>
        <w:rPr>
          <w:rStyle w:val="FootnoteReference"/>
          <w:rFonts w:ascii="Times New Roman" w:hAnsi="Times New Roman" w:cs="Times New Roman"/>
          <w:sz w:val="24"/>
          <w:szCs w:val="24"/>
        </w:rPr>
        <w:footnoteReference w:id="202"/>
      </w:r>
      <w:r w:rsidR="00AF3977">
        <w:rPr>
          <w:rFonts w:ascii="Times New Roman" w:hAnsi="Times New Roman" w:cs="Times New Roman"/>
          <w:sz w:val="24"/>
          <w:szCs w:val="24"/>
        </w:rPr>
        <w:t xml:space="preserve"> </w:t>
      </w:r>
      <w:r w:rsidR="00C7019E">
        <w:rPr>
          <w:rFonts w:ascii="Times New Roman" w:hAnsi="Times New Roman" w:cs="Times New Roman"/>
          <w:sz w:val="24"/>
          <w:szCs w:val="24"/>
        </w:rPr>
        <w:t>Within these bases, t</w:t>
      </w:r>
      <w:r w:rsidR="003D3E2D">
        <w:rPr>
          <w:rFonts w:ascii="Times New Roman" w:hAnsi="Times New Roman" w:cs="Times New Roman"/>
          <w:sz w:val="24"/>
          <w:szCs w:val="24"/>
        </w:rPr>
        <w:t xml:space="preserve">he rebels were generally successful at providing public goods towards the conflict’s ending. </w:t>
      </w:r>
      <w:r w:rsidR="00783BB7">
        <w:rPr>
          <w:rFonts w:ascii="Times New Roman" w:hAnsi="Times New Roman" w:cs="Times New Roman"/>
          <w:sz w:val="24"/>
          <w:szCs w:val="24"/>
        </w:rPr>
        <w:t>ZANU had an ambitious plan to provide education by the final years of the war, but until the war was over its ability to achieve its goals were hamstrung by a desperate lack of resources and the fact that its headquarters was bombed on numerous occasions.</w:t>
      </w:r>
      <w:r w:rsidR="00BF1547">
        <w:rPr>
          <w:rStyle w:val="FootnoteReference"/>
          <w:rFonts w:ascii="Times New Roman" w:hAnsi="Times New Roman" w:cs="Times New Roman"/>
          <w:sz w:val="24"/>
          <w:szCs w:val="24"/>
        </w:rPr>
        <w:footnoteReference w:id="203"/>
      </w:r>
      <w:r w:rsidR="00BF1547">
        <w:rPr>
          <w:rFonts w:ascii="Times New Roman" w:hAnsi="Times New Roman" w:cs="Times New Roman"/>
          <w:sz w:val="24"/>
          <w:szCs w:val="24"/>
        </w:rPr>
        <w:t xml:space="preserve"> One reason for the delayed effectiveness was the difficult security situation—even posting a couple guards was sufficient provocation for Rhodesian troops to raid a camp. However, the cadres themselves also resented having to develop a system of education.</w:t>
      </w:r>
      <w:r w:rsidR="00BF1547">
        <w:rPr>
          <w:rStyle w:val="FootnoteReference"/>
          <w:rFonts w:ascii="Times New Roman" w:hAnsi="Times New Roman" w:cs="Times New Roman"/>
          <w:sz w:val="24"/>
          <w:szCs w:val="24"/>
        </w:rPr>
        <w:footnoteReference w:id="204"/>
      </w:r>
      <w:r w:rsidR="00BF1547">
        <w:rPr>
          <w:rFonts w:ascii="Times New Roman" w:hAnsi="Times New Roman" w:cs="Times New Roman"/>
          <w:sz w:val="24"/>
          <w:szCs w:val="24"/>
        </w:rPr>
        <w:t xml:space="preserve"> </w:t>
      </w:r>
      <w:r w:rsidR="00783BB7">
        <w:rPr>
          <w:rFonts w:ascii="Times New Roman" w:hAnsi="Times New Roman" w:cs="Times New Roman"/>
          <w:sz w:val="24"/>
          <w:szCs w:val="24"/>
        </w:rPr>
        <w:t xml:space="preserve">Nevertheless, its educational program was </w:t>
      </w:r>
      <w:r w:rsidR="00783BB7">
        <w:rPr>
          <w:rFonts w:ascii="Times New Roman" w:hAnsi="Times New Roman" w:cs="Times New Roman"/>
          <w:sz w:val="24"/>
          <w:szCs w:val="24"/>
        </w:rPr>
        <w:lastRenderedPageBreak/>
        <w:t>producing results inside the country during the late 1970s.</w:t>
      </w:r>
      <w:r w:rsidR="00783BB7">
        <w:rPr>
          <w:rStyle w:val="FootnoteReference"/>
          <w:rFonts w:ascii="Times New Roman" w:hAnsi="Times New Roman" w:cs="Times New Roman"/>
          <w:sz w:val="24"/>
          <w:szCs w:val="24"/>
        </w:rPr>
        <w:footnoteReference w:id="205"/>
      </w:r>
      <w:r w:rsidR="003D3E2D">
        <w:rPr>
          <w:rFonts w:ascii="Times New Roman" w:hAnsi="Times New Roman" w:cs="Times New Roman"/>
          <w:sz w:val="24"/>
          <w:szCs w:val="24"/>
        </w:rPr>
        <w:t xml:space="preserve"> </w:t>
      </w:r>
      <w:r w:rsidR="004C700A">
        <w:rPr>
          <w:rFonts w:ascii="Times New Roman" w:hAnsi="Times New Roman" w:cs="Times New Roman"/>
          <w:sz w:val="24"/>
          <w:szCs w:val="24"/>
        </w:rPr>
        <w:t>There were also several clinics and hospitals established by the rebels, amply staffed by nurses and medical officers. However, their function was hampered by the propensity by rebel forces to impress women into sexual servitude at any opportunity, even among women serving as soldiers in the war.</w:t>
      </w:r>
      <w:r w:rsidR="004C700A">
        <w:rPr>
          <w:rStyle w:val="FootnoteReference"/>
          <w:rFonts w:ascii="Times New Roman" w:hAnsi="Times New Roman" w:cs="Times New Roman"/>
          <w:sz w:val="24"/>
          <w:szCs w:val="24"/>
        </w:rPr>
        <w:footnoteReference w:id="206"/>
      </w:r>
    </w:p>
    <w:p w14:paraId="1359C62C" w14:textId="1F43ED59" w:rsidR="004B0680" w:rsidRDefault="00C7019E" w:rsidP="007B77B4">
      <w:pPr>
        <w:rPr>
          <w:rFonts w:ascii="Times New Roman" w:hAnsi="Times New Roman" w:cs="Times New Roman"/>
          <w:sz w:val="24"/>
          <w:szCs w:val="24"/>
        </w:rPr>
      </w:pPr>
      <w:r>
        <w:rPr>
          <w:rFonts w:ascii="Times New Roman" w:hAnsi="Times New Roman" w:cs="Times New Roman"/>
          <w:sz w:val="24"/>
          <w:szCs w:val="24"/>
        </w:rPr>
        <w:tab/>
      </w:r>
      <w:r w:rsidR="004B0680">
        <w:rPr>
          <w:rFonts w:ascii="Times New Roman" w:hAnsi="Times New Roman" w:cs="Times New Roman"/>
          <w:sz w:val="24"/>
          <w:szCs w:val="24"/>
        </w:rPr>
        <w:t>Using these bases</w:t>
      </w:r>
      <w:r w:rsidR="000D1114">
        <w:rPr>
          <w:rFonts w:ascii="Times New Roman" w:hAnsi="Times New Roman" w:cs="Times New Roman"/>
          <w:sz w:val="24"/>
          <w:szCs w:val="24"/>
        </w:rPr>
        <w:t xml:space="preserve">, Zimbabwe’s rebels were able to provide </w:t>
      </w:r>
      <w:r w:rsidR="004B0680">
        <w:rPr>
          <w:rFonts w:ascii="Times New Roman" w:hAnsi="Times New Roman" w:cs="Times New Roman"/>
          <w:sz w:val="24"/>
          <w:szCs w:val="24"/>
        </w:rPr>
        <w:t>a small measure of</w:t>
      </w:r>
      <w:r w:rsidR="000D1114">
        <w:rPr>
          <w:rFonts w:ascii="Times New Roman" w:hAnsi="Times New Roman" w:cs="Times New Roman"/>
          <w:sz w:val="24"/>
          <w:szCs w:val="24"/>
        </w:rPr>
        <w:t xml:space="preserve"> law and order</w:t>
      </w:r>
      <w:r w:rsidR="004B0680">
        <w:rPr>
          <w:rFonts w:ascii="Times New Roman" w:hAnsi="Times New Roman" w:cs="Times New Roman"/>
          <w:sz w:val="24"/>
          <w:szCs w:val="24"/>
        </w:rPr>
        <w:t>.</w:t>
      </w:r>
      <w:r w:rsidR="000D1114">
        <w:rPr>
          <w:rFonts w:ascii="Times New Roman" w:hAnsi="Times New Roman" w:cs="Times New Roman"/>
          <w:sz w:val="24"/>
          <w:szCs w:val="24"/>
        </w:rPr>
        <w:t xml:space="preserve"> </w:t>
      </w:r>
      <w:r w:rsidR="004B0680">
        <w:rPr>
          <w:rFonts w:ascii="Times New Roman" w:hAnsi="Times New Roman" w:cs="Times New Roman"/>
          <w:sz w:val="24"/>
          <w:szCs w:val="24"/>
        </w:rPr>
        <w:t>In addition to</w:t>
      </w:r>
      <w:r w:rsidR="000D1114">
        <w:rPr>
          <w:rFonts w:ascii="Times New Roman" w:hAnsi="Times New Roman" w:cs="Times New Roman"/>
          <w:sz w:val="24"/>
          <w:szCs w:val="24"/>
        </w:rPr>
        <w:t xml:space="preserve"> ad hoc of recriminations for supposed “sell-outs”</w:t>
      </w:r>
      <w:r w:rsidR="004B0680">
        <w:rPr>
          <w:rFonts w:ascii="Times New Roman" w:hAnsi="Times New Roman" w:cs="Times New Roman"/>
          <w:sz w:val="24"/>
          <w:szCs w:val="24"/>
        </w:rPr>
        <w:t xml:space="preserve"> at political meetings,</w:t>
      </w:r>
      <w:r w:rsidR="000D1114">
        <w:rPr>
          <w:rStyle w:val="FootnoteReference"/>
          <w:rFonts w:ascii="Times New Roman" w:hAnsi="Times New Roman" w:cs="Times New Roman"/>
          <w:sz w:val="24"/>
          <w:szCs w:val="24"/>
        </w:rPr>
        <w:footnoteReference w:id="207"/>
      </w:r>
      <w:r w:rsidR="004B0680">
        <w:rPr>
          <w:rFonts w:ascii="Times New Roman" w:hAnsi="Times New Roman" w:cs="Times New Roman"/>
          <w:sz w:val="24"/>
          <w:szCs w:val="24"/>
        </w:rPr>
        <w:t xml:space="preserve"> the rebels were able to construct a rudimentary court system in some areas, especially </w:t>
      </w:r>
      <w:r w:rsidR="004B0680" w:rsidRPr="004B0680">
        <w:rPr>
          <w:rFonts w:ascii="Times New Roman" w:hAnsi="Times New Roman" w:cs="Times New Roman"/>
          <w:sz w:val="24"/>
          <w:szCs w:val="24"/>
        </w:rPr>
        <w:t>Mashonaland</w:t>
      </w:r>
      <w:r w:rsidR="004B0680">
        <w:rPr>
          <w:rFonts w:ascii="Times New Roman" w:hAnsi="Times New Roman" w:cs="Times New Roman"/>
          <w:sz w:val="24"/>
          <w:szCs w:val="24"/>
        </w:rPr>
        <w:t>. The guerillas or the local political committee would hear disputes and adjudicate them. Many of these were of a political nature, but as the war began to wind down, more and more private disputes were handled by these “courts.”</w:t>
      </w:r>
      <w:r w:rsidR="004B0680">
        <w:rPr>
          <w:rStyle w:val="FootnoteReference"/>
          <w:rFonts w:ascii="Times New Roman" w:hAnsi="Times New Roman" w:cs="Times New Roman"/>
          <w:sz w:val="24"/>
          <w:szCs w:val="24"/>
        </w:rPr>
        <w:footnoteReference w:id="208"/>
      </w:r>
    </w:p>
    <w:p w14:paraId="22F82B49" w14:textId="13F972F1" w:rsidR="0025406B" w:rsidRPr="00676EE6" w:rsidRDefault="004B0680" w:rsidP="0025406B">
      <w:pPr>
        <w:rPr>
          <w:rFonts w:ascii="Times New Roman" w:hAnsi="Times New Roman" w:cs="Times New Roman"/>
          <w:sz w:val="24"/>
          <w:szCs w:val="24"/>
        </w:rPr>
      </w:pPr>
      <w:r>
        <w:rPr>
          <w:rFonts w:ascii="Times New Roman" w:hAnsi="Times New Roman" w:cs="Times New Roman"/>
          <w:sz w:val="24"/>
          <w:szCs w:val="24"/>
        </w:rPr>
        <w:tab/>
        <w:t>V</w:t>
      </w:r>
      <w:r w:rsidR="000D1114">
        <w:rPr>
          <w:rFonts w:ascii="Times New Roman" w:hAnsi="Times New Roman" w:cs="Times New Roman"/>
          <w:sz w:val="24"/>
          <w:szCs w:val="24"/>
        </w:rPr>
        <w:t>illage committees which the rebels encouraged had substantial impacts</w:t>
      </w:r>
      <w:r>
        <w:rPr>
          <w:rFonts w:ascii="Times New Roman" w:hAnsi="Times New Roman" w:cs="Times New Roman"/>
          <w:sz w:val="24"/>
          <w:szCs w:val="24"/>
        </w:rPr>
        <w:t xml:space="preserve"> beyond this as well</w:t>
      </w:r>
      <w:r w:rsidR="000D1114">
        <w:rPr>
          <w:rFonts w:ascii="Times New Roman" w:hAnsi="Times New Roman" w:cs="Times New Roman"/>
          <w:sz w:val="24"/>
          <w:szCs w:val="24"/>
        </w:rPr>
        <w:t xml:space="preserve">. This impact was primarily keeping lookout for hostile individuals and organizing the collection and delivery of supplies to rebels (as opposed to making policy), but the officers within the committee were elected to their positions. Despite the substantial risks of individuals engaged in these activities, the rebels were unable to protect members of these committees from government forces, forcing them to </w:t>
      </w:r>
      <w:r w:rsidR="007B77B4">
        <w:rPr>
          <w:rFonts w:ascii="Times New Roman" w:hAnsi="Times New Roman" w:cs="Times New Roman"/>
          <w:sz w:val="24"/>
          <w:szCs w:val="24"/>
        </w:rPr>
        <w:t>thread the needle between supporting the independence cause and not arousing suspicion among government agents.</w:t>
      </w:r>
      <w:r w:rsidR="007B77B4">
        <w:rPr>
          <w:rStyle w:val="FootnoteReference"/>
          <w:rFonts w:ascii="Times New Roman" w:hAnsi="Times New Roman" w:cs="Times New Roman"/>
          <w:sz w:val="24"/>
          <w:szCs w:val="24"/>
        </w:rPr>
        <w:footnoteReference w:id="209"/>
      </w:r>
    </w:p>
    <w:sectPr w:rsidR="0025406B" w:rsidRPr="00676E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8E03B" w14:textId="77777777" w:rsidR="00B11C25" w:rsidRDefault="00B11C25" w:rsidP="000C228A">
      <w:pPr>
        <w:spacing w:after="0" w:line="240" w:lineRule="auto"/>
      </w:pPr>
      <w:r>
        <w:separator/>
      </w:r>
    </w:p>
  </w:endnote>
  <w:endnote w:type="continuationSeparator" w:id="0">
    <w:p w14:paraId="3AA14324" w14:textId="77777777" w:rsidR="00B11C25" w:rsidRDefault="00B11C25" w:rsidP="000C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93D4D" w14:textId="77777777" w:rsidR="00B11C25" w:rsidRDefault="00B11C25" w:rsidP="000C228A">
      <w:pPr>
        <w:spacing w:after="0" w:line="240" w:lineRule="auto"/>
      </w:pPr>
      <w:r>
        <w:separator/>
      </w:r>
    </w:p>
  </w:footnote>
  <w:footnote w:type="continuationSeparator" w:id="0">
    <w:p w14:paraId="1F0596BE" w14:textId="77777777" w:rsidR="00B11C25" w:rsidRDefault="00B11C25" w:rsidP="000C228A">
      <w:pPr>
        <w:spacing w:after="0" w:line="240" w:lineRule="auto"/>
      </w:pPr>
      <w:r>
        <w:continuationSeparator/>
      </w:r>
    </w:p>
  </w:footnote>
  <w:footnote w:id="1">
    <w:p w14:paraId="1198AE88" w14:textId="77777777" w:rsidR="0025406B" w:rsidRPr="003558B6" w:rsidRDefault="0025406B">
      <w:pPr>
        <w:pStyle w:val="FootnoteText"/>
      </w:pPr>
      <w:r>
        <w:rPr>
          <w:rStyle w:val="FootnoteReference"/>
        </w:rPr>
        <w:footnoteRef/>
      </w:r>
      <w:r>
        <w:t xml:space="preserve"> Romain </w:t>
      </w:r>
      <w:proofErr w:type="spellStart"/>
      <w:r>
        <w:t>Forscher</w:t>
      </w:r>
      <w:proofErr w:type="spellEnd"/>
      <w:r>
        <w:t xml:space="preserve">, “The Burundi Massacres: Tribalism in Black Africa,” </w:t>
      </w:r>
      <w:r>
        <w:rPr>
          <w:i/>
        </w:rPr>
        <w:t>International Journal of Politics</w:t>
      </w:r>
      <w:r>
        <w:t xml:space="preserve"> 4, No. 4 (1974), 77-87.</w:t>
      </w:r>
    </w:p>
  </w:footnote>
  <w:footnote w:id="2">
    <w:p w14:paraId="296C524D" w14:textId="77777777" w:rsidR="0025406B" w:rsidRPr="00E06FAB" w:rsidRDefault="0025406B">
      <w:pPr>
        <w:pStyle w:val="FootnoteText"/>
      </w:pPr>
      <w:r>
        <w:rPr>
          <w:rStyle w:val="FootnoteReference"/>
        </w:rPr>
        <w:footnoteRef/>
      </w:r>
      <w:r>
        <w:t xml:space="preserve"> Warren Weinstein, “Ethnicity and Conflict Regulation: The 1972 Burundi Revolt,” </w:t>
      </w:r>
      <w:r>
        <w:rPr>
          <w:i/>
        </w:rPr>
        <w:t>Africa Spectrum</w:t>
      </w:r>
      <w:r>
        <w:t xml:space="preserve"> 9, No. 1 (1974), 42-49.</w:t>
      </w:r>
    </w:p>
  </w:footnote>
  <w:footnote w:id="3">
    <w:p w14:paraId="3B9E24F9" w14:textId="77777777" w:rsidR="0025406B" w:rsidRPr="00546471" w:rsidRDefault="0025406B">
      <w:pPr>
        <w:pStyle w:val="FootnoteText"/>
      </w:pPr>
      <w:r>
        <w:rPr>
          <w:rStyle w:val="FootnoteReference"/>
        </w:rPr>
        <w:footnoteRef/>
      </w:r>
      <w:r>
        <w:t xml:space="preserve"> Warren Weinstein, “Conflict and Confrontation in Central Africa: The Revolt in Burundi, 1972,” </w:t>
      </w:r>
      <w:r>
        <w:rPr>
          <w:i/>
        </w:rPr>
        <w:t>Africa Today</w:t>
      </w:r>
      <w:r>
        <w:t xml:space="preserve"> 19, No. 4 (1972), 17-37.</w:t>
      </w:r>
    </w:p>
  </w:footnote>
  <w:footnote w:id="4">
    <w:p w14:paraId="3CFD257F" w14:textId="77777777" w:rsidR="0025406B" w:rsidRDefault="0025406B">
      <w:pPr>
        <w:pStyle w:val="FootnoteText"/>
      </w:pPr>
      <w:r>
        <w:rPr>
          <w:rStyle w:val="FootnoteReference"/>
        </w:rPr>
        <w:footnoteRef/>
      </w:r>
      <w:r>
        <w:t xml:space="preserve"> </w:t>
      </w:r>
      <w:proofErr w:type="spellStart"/>
      <w:r>
        <w:t>Forscher</w:t>
      </w:r>
      <w:proofErr w:type="spellEnd"/>
      <w:r>
        <w:t>, The Burundi Massacres,” 79.</w:t>
      </w:r>
    </w:p>
  </w:footnote>
  <w:footnote w:id="5">
    <w:p w14:paraId="56944616" w14:textId="77777777" w:rsidR="0025406B" w:rsidRDefault="0025406B">
      <w:pPr>
        <w:pStyle w:val="FootnoteText"/>
      </w:pPr>
      <w:r>
        <w:rPr>
          <w:rStyle w:val="FootnoteReference"/>
        </w:rPr>
        <w:footnoteRef/>
      </w:r>
      <w:r>
        <w:t xml:space="preserve"> Aiden Russell, “Rebel and Rule in Burundi, 1972,” </w:t>
      </w:r>
      <w:r>
        <w:rPr>
          <w:i/>
        </w:rPr>
        <w:t>The International Journal of African Historical Studies</w:t>
      </w:r>
      <w:r>
        <w:t xml:space="preserve"> 48, No. 1 (2015), 85-87</w:t>
      </w:r>
    </w:p>
  </w:footnote>
  <w:footnote w:id="6">
    <w:p w14:paraId="1151A8BD" w14:textId="77777777" w:rsidR="0025406B" w:rsidRDefault="0025406B">
      <w:pPr>
        <w:pStyle w:val="FootnoteText"/>
      </w:pPr>
      <w:r>
        <w:rPr>
          <w:rStyle w:val="FootnoteReference"/>
        </w:rPr>
        <w:footnoteRef/>
      </w:r>
      <w:r>
        <w:t xml:space="preserve"> Ibid. 73-97</w:t>
      </w:r>
    </w:p>
  </w:footnote>
  <w:footnote w:id="7">
    <w:p w14:paraId="04C31FF9" w14:textId="77777777" w:rsidR="0025406B" w:rsidRPr="000C228A" w:rsidRDefault="0025406B" w:rsidP="00A963F6">
      <w:pPr>
        <w:pStyle w:val="FootnoteText"/>
      </w:pPr>
      <w:r>
        <w:rPr>
          <w:rStyle w:val="FootnoteReference"/>
        </w:rPr>
        <w:footnoteRef/>
      </w:r>
      <w:r>
        <w:t xml:space="preserve"> </w:t>
      </w:r>
      <w:r w:rsidRPr="000C228A">
        <w:t>Bernard K. Gordon and Kathryn Young</w:t>
      </w:r>
      <w:r>
        <w:t xml:space="preserve">, “The Khmer Republic: That Was the Cambodia That Was” </w:t>
      </w:r>
      <w:r>
        <w:rPr>
          <w:i/>
        </w:rPr>
        <w:t xml:space="preserve">Asian Survey </w:t>
      </w:r>
      <w:r>
        <w:t>11, No. 1 (1971), 26-40.</w:t>
      </w:r>
    </w:p>
  </w:footnote>
  <w:footnote w:id="8">
    <w:p w14:paraId="4CAE479B" w14:textId="77777777" w:rsidR="0025406B" w:rsidRDefault="0025406B" w:rsidP="00A963F6">
      <w:pPr>
        <w:pStyle w:val="FootnoteText"/>
      </w:pPr>
      <w:r>
        <w:rPr>
          <w:rStyle w:val="FootnoteReference"/>
        </w:rPr>
        <w:footnoteRef/>
      </w:r>
      <w:r>
        <w:t xml:space="preserve"> Douglas Pike, “Cambodia’s War,” </w:t>
      </w:r>
      <w:r>
        <w:rPr>
          <w:i/>
        </w:rPr>
        <w:t>Southeast Asian Perspectives</w:t>
      </w:r>
      <w:r>
        <w:t xml:space="preserve"> 1 (1971), 12-17.</w:t>
      </w:r>
    </w:p>
  </w:footnote>
  <w:footnote w:id="9">
    <w:p w14:paraId="54FDEF55" w14:textId="77777777" w:rsidR="0025406B" w:rsidRDefault="0025406B" w:rsidP="00A963F6">
      <w:pPr>
        <w:pStyle w:val="FootnoteText"/>
      </w:pPr>
      <w:r>
        <w:rPr>
          <w:rStyle w:val="FootnoteReference"/>
        </w:rPr>
        <w:footnoteRef/>
      </w:r>
      <w:r>
        <w:t xml:space="preserve"> Tai Sung An, “Turmoil in Indochina: The Vietnam-Cambodia Conflict,” </w:t>
      </w:r>
      <w:r>
        <w:rPr>
          <w:i/>
        </w:rPr>
        <w:t>Asian Affairs</w:t>
      </w:r>
      <w:r>
        <w:t xml:space="preserve"> 5, No. 4 (1978) 247-250; Indeed, the communists began actively fighting against each other starting in 1973.</w:t>
      </w:r>
    </w:p>
  </w:footnote>
  <w:footnote w:id="10">
    <w:p w14:paraId="2CD36A8B" w14:textId="77777777" w:rsidR="0025406B" w:rsidRDefault="0025406B">
      <w:pPr>
        <w:pStyle w:val="FootnoteText"/>
      </w:pPr>
      <w:r>
        <w:rPr>
          <w:rStyle w:val="FootnoteReference"/>
        </w:rPr>
        <w:footnoteRef/>
      </w:r>
      <w:r>
        <w:t xml:space="preserve"> Kenneth M. Quinn, “</w:t>
      </w:r>
      <w:r w:rsidRPr="00233467">
        <w:t xml:space="preserve">Political Change in Wartime: The Khmer </w:t>
      </w:r>
      <w:proofErr w:type="spellStart"/>
      <w:r w:rsidRPr="00233467">
        <w:t>Krahom</w:t>
      </w:r>
      <w:proofErr w:type="spellEnd"/>
      <w:r w:rsidRPr="00233467">
        <w:t xml:space="preserve"> Revolution in Southern Cambodia, 1970-1974</w:t>
      </w:r>
      <w:r>
        <w:t xml:space="preserve">,” </w:t>
      </w:r>
      <w:r>
        <w:rPr>
          <w:i/>
        </w:rPr>
        <w:t>Naval War College Review</w:t>
      </w:r>
      <w:r>
        <w:t xml:space="preserve"> 28, No. 4 (1976), </w:t>
      </w:r>
      <w:r w:rsidRPr="00233467">
        <w:t>7</w:t>
      </w:r>
      <w:r>
        <w:t>-8, 20.</w:t>
      </w:r>
    </w:p>
  </w:footnote>
  <w:footnote w:id="11">
    <w:p w14:paraId="45AB2818" w14:textId="77777777" w:rsidR="0025406B" w:rsidRDefault="0025406B" w:rsidP="00E125C2">
      <w:pPr>
        <w:pStyle w:val="FootnoteText"/>
      </w:pPr>
      <w:r>
        <w:rPr>
          <w:rStyle w:val="FootnoteReference"/>
        </w:rPr>
        <w:footnoteRef/>
      </w:r>
      <w:r>
        <w:t xml:space="preserve"> </w:t>
      </w:r>
      <w:proofErr w:type="gramStart"/>
      <w:r>
        <w:t>Ben Kiernan,</w:t>
      </w:r>
      <w:proofErr w:type="gramEnd"/>
      <w:r>
        <w:t xml:space="preserve"> </w:t>
      </w:r>
      <w:r>
        <w:rPr>
          <w:i/>
        </w:rPr>
        <w:t>How Pol Pot Came to Power: Colonialism, Nationalism, and Communism in Cambodia, 1930-1975</w:t>
      </w:r>
      <w:r>
        <w:t xml:space="preserve">. </w:t>
      </w:r>
      <w:r w:rsidRPr="00171978">
        <w:rPr>
          <w:i/>
        </w:rPr>
        <w:t>2</w:t>
      </w:r>
      <w:r w:rsidRPr="00171978">
        <w:rPr>
          <w:i/>
          <w:vertAlign w:val="superscript"/>
        </w:rPr>
        <w:t>nd</w:t>
      </w:r>
      <w:r w:rsidRPr="00171978">
        <w:rPr>
          <w:i/>
        </w:rPr>
        <w:t xml:space="preserve"> Edition</w:t>
      </w:r>
      <w:r>
        <w:t>. (New Haven, CT: Yale University Press, 1996), 315-318.</w:t>
      </w:r>
    </w:p>
  </w:footnote>
  <w:footnote w:id="12">
    <w:p w14:paraId="522DF324" w14:textId="77777777" w:rsidR="0025406B" w:rsidRDefault="0025406B">
      <w:pPr>
        <w:pStyle w:val="FootnoteText"/>
      </w:pPr>
      <w:r>
        <w:rPr>
          <w:rStyle w:val="FootnoteReference"/>
        </w:rPr>
        <w:footnoteRef/>
      </w:r>
      <w:r>
        <w:t xml:space="preserve"> David E. Brown, “Exporting Insurgency: The Communists in Cambodia,” </w:t>
      </w:r>
      <w:r>
        <w:rPr>
          <w:i/>
        </w:rPr>
        <w:t>Indochina in Conflict: A Political Assessment</w:t>
      </w:r>
      <w:r>
        <w:t>, eds. Joseph J. Zasloff and Allan E. Goodman (Lexington: Lexington Books, 1927), 125-135; The monks had apparently received a promise that their temple would not be disturbed. VC troops commandeered the compound and fired anti-air weapons from the position, leading to the temple being bombed (see: ibid. 131).</w:t>
      </w:r>
    </w:p>
  </w:footnote>
  <w:footnote w:id="13">
    <w:p w14:paraId="47D57E6D" w14:textId="77777777" w:rsidR="0025406B" w:rsidRDefault="0025406B">
      <w:pPr>
        <w:pStyle w:val="FootnoteText"/>
      </w:pPr>
      <w:r>
        <w:rPr>
          <w:rStyle w:val="FootnoteReference"/>
        </w:rPr>
        <w:footnoteRef/>
      </w:r>
      <w:r>
        <w:t xml:space="preserve"> Pike, “Cambodia’s War,” 33-35.</w:t>
      </w:r>
    </w:p>
  </w:footnote>
  <w:footnote w:id="14">
    <w:p w14:paraId="645FE6F9" w14:textId="77777777" w:rsidR="0025406B" w:rsidRDefault="0025406B">
      <w:pPr>
        <w:pStyle w:val="FootnoteText"/>
      </w:pPr>
      <w:r>
        <w:rPr>
          <w:rStyle w:val="FootnoteReference"/>
        </w:rPr>
        <w:footnoteRef/>
      </w:r>
      <w:r>
        <w:t xml:space="preserve"> Quinn, “Political Change in Wartime,” 8-9.</w:t>
      </w:r>
    </w:p>
  </w:footnote>
  <w:footnote w:id="15">
    <w:p w14:paraId="4E2CD452" w14:textId="77777777" w:rsidR="0025406B" w:rsidRDefault="0025406B">
      <w:pPr>
        <w:pStyle w:val="FootnoteText"/>
      </w:pPr>
      <w:r>
        <w:rPr>
          <w:rStyle w:val="FootnoteReference"/>
        </w:rPr>
        <w:footnoteRef/>
      </w:r>
      <w:r>
        <w:t xml:space="preserve"> Ibid. 18-21.</w:t>
      </w:r>
    </w:p>
  </w:footnote>
  <w:footnote w:id="16">
    <w:p w14:paraId="28DA1CEA" w14:textId="77777777" w:rsidR="0025406B" w:rsidRDefault="0025406B" w:rsidP="00372EC8">
      <w:pPr>
        <w:pStyle w:val="FootnoteText"/>
      </w:pPr>
      <w:r>
        <w:rPr>
          <w:rStyle w:val="FootnoteReference"/>
        </w:rPr>
        <w:footnoteRef/>
      </w:r>
      <w:r>
        <w:t xml:space="preserve"> Thomas Clayton, “Building the New Cambodia: Educational Destruction and Construction under the Khmer Rouge, 1975-1979,” </w:t>
      </w:r>
      <w:r>
        <w:rPr>
          <w:i/>
        </w:rPr>
        <w:t xml:space="preserve">History of Education </w:t>
      </w:r>
      <w:r w:rsidRPr="000C1EA2">
        <w:t>Quarterly</w:t>
      </w:r>
      <w:r>
        <w:t xml:space="preserve"> 38, No. 1 (1998), </w:t>
      </w:r>
      <w:r w:rsidRPr="000C1EA2">
        <w:t>5</w:t>
      </w:r>
      <w:r>
        <w:t>-14.</w:t>
      </w:r>
    </w:p>
  </w:footnote>
  <w:footnote w:id="17">
    <w:p w14:paraId="52940FA7" w14:textId="77777777" w:rsidR="0025406B" w:rsidRDefault="0025406B">
      <w:pPr>
        <w:pStyle w:val="FootnoteText"/>
      </w:pPr>
      <w:r>
        <w:rPr>
          <w:rStyle w:val="FootnoteReference"/>
        </w:rPr>
        <w:footnoteRef/>
      </w:r>
      <w:r>
        <w:t xml:space="preserve"> Quinn, “Political Change in Wartime,” 8-9, 18-21.</w:t>
      </w:r>
    </w:p>
  </w:footnote>
  <w:footnote w:id="18">
    <w:p w14:paraId="152960EC" w14:textId="77777777" w:rsidR="0025406B" w:rsidRDefault="0025406B">
      <w:pPr>
        <w:pStyle w:val="FootnoteText"/>
      </w:pPr>
      <w:r>
        <w:rPr>
          <w:rStyle w:val="FootnoteReference"/>
        </w:rPr>
        <w:footnoteRef/>
      </w:r>
      <w:r>
        <w:t xml:space="preserve"> For example, see: </w:t>
      </w:r>
      <w:proofErr w:type="spellStart"/>
      <w:r>
        <w:t>Abdulgaffar</w:t>
      </w:r>
      <w:proofErr w:type="spellEnd"/>
      <w:r>
        <w:t xml:space="preserve"> </w:t>
      </w:r>
      <w:proofErr w:type="spellStart"/>
      <w:r>
        <w:t>Peang</w:t>
      </w:r>
      <w:proofErr w:type="spellEnd"/>
      <w:r>
        <w:t xml:space="preserve">-Meth, “A Study of the Khmer People’s National Liberation Front and the Coalition Government of Democratic </w:t>
      </w:r>
      <w:proofErr w:type="spellStart"/>
      <w:r>
        <w:t>Kambuchea</w:t>
      </w:r>
      <w:proofErr w:type="spellEnd"/>
      <w:r>
        <w:t xml:space="preserve">,” </w:t>
      </w:r>
      <w:r>
        <w:rPr>
          <w:i/>
        </w:rPr>
        <w:t>Contemporary Southeast Asia</w:t>
      </w:r>
      <w:r>
        <w:t xml:space="preserve"> 12, No. 3 (1990), 175-176.</w:t>
      </w:r>
    </w:p>
  </w:footnote>
  <w:footnote w:id="19">
    <w:p w14:paraId="6F77FCBF" w14:textId="77777777" w:rsidR="0025406B" w:rsidRDefault="0025406B" w:rsidP="00BC1D6B">
      <w:pPr>
        <w:pStyle w:val="FootnoteText"/>
      </w:pPr>
      <w:r>
        <w:rPr>
          <w:rStyle w:val="FootnoteReference"/>
        </w:rPr>
        <w:footnoteRef/>
      </w:r>
      <w:r>
        <w:t xml:space="preserve"> </w:t>
      </w:r>
      <w:r w:rsidRPr="00BC1D6B">
        <w:t xml:space="preserve">Jennifer Giroux, David </w:t>
      </w:r>
      <w:proofErr w:type="spellStart"/>
      <w:r w:rsidRPr="00BC1D6B">
        <w:t>Lanz</w:t>
      </w:r>
      <w:proofErr w:type="spellEnd"/>
      <w:r w:rsidRPr="00BC1D6B">
        <w:t xml:space="preserve">, Damiano </w:t>
      </w:r>
      <w:proofErr w:type="spellStart"/>
      <w:r w:rsidRPr="00BC1D6B">
        <w:t>Sguaitamatti</w:t>
      </w:r>
      <w:proofErr w:type="spellEnd"/>
      <w:r>
        <w:t>,</w:t>
      </w:r>
      <w:r w:rsidRPr="00BC1D6B">
        <w:t xml:space="preserve"> </w:t>
      </w:r>
      <w:r>
        <w:t xml:space="preserve">“The Tormented Triangle: The Regionalisation of Conflict in Sudan, Chad and the Central African Republic,” </w:t>
      </w:r>
      <w:r w:rsidRPr="00BC1D6B">
        <w:rPr>
          <w:i/>
        </w:rPr>
        <w:t>Regional and Global Axes of Conflict</w:t>
      </w:r>
      <w:r>
        <w:t>, no. 47 (2009), 4.</w:t>
      </w:r>
    </w:p>
  </w:footnote>
  <w:footnote w:id="20">
    <w:p w14:paraId="6928225F" w14:textId="77777777" w:rsidR="0025406B" w:rsidRDefault="0025406B">
      <w:pPr>
        <w:pStyle w:val="FootnoteText"/>
      </w:pPr>
      <w:r>
        <w:rPr>
          <w:rStyle w:val="FootnoteReference"/>
        </w:rPr>
        <w:footnoteRef/>
      </w:r>
      <w:r>
        <w:t xml:space="preserve"> S. Amjad Ali, “War-Torn Chad—Cockpit of International Rivalry,” </w:t>
      </w:r>
      <w:r>
        <w:rPr>
          <w:i/>
        </w:rPr>
        <w:t>Pakistan Horizon</w:t>
      </w:r>
      <w:r>
        <w:t xml:space="preserve"> 37, No. 3 (1984), 21.</w:t>
      </w:r>
    </w:p>
  </w:footnote>
  <w:footnote w:id="21">
    <w:p w14:paraId="43BB816F" w14:textId="77777777" w:rsidR="0025406B" w:rsidRDefault="0025406B">
      <w:pPr>
        <w:pStyle w:val="FootnoteText"/>
      </w:pPr>
      <w:r>
        <w:rPr>
          <w:rStyle w:val="FootnoteReference"/>
        </w:rPr>
        <w:footnoteRef/>
      </w:r>
      <w:r>
        <w:t xml:space="preserve"> S.E. </w:t>
      </w:r>
      <w:proofErr w:type="spellStart"/>
      <w:r>
        <w:t>Orobator</w:t>
      </w:r>
      <w:proofErr w:type="spellEnd"/>
      <w:r>
        <w:t xml:space="preserve">, “Civil Strife and International Involvement: The Case of Chad (1964-1983),” </w:t>
      </w:r>
      <w:r w:rsidRPr="002E6EDE">
        <w:rPr>
          <w:i/>
        </w:rPr>
        <w:t xml:space="preserve">Africa: </w:t>
      </w:r>
      <w:proofErr w:type="spellStart"/>
      <w:r w:rsidRPr="002E6EDE">
        <w:rPr>
          <w:i/>
        </w:rPr>
        <w:t>Rivista</w:t>
      </w:r>
      <w:proofErr w:type="spellEnd"/>
      <w:r w:rsidRPr="002E6EDE">
        <w:rPr>
          <w:i/>
        </w:rPr>
        <w:t xml:space="preserve"> </w:t>
      </w:r>
      <w:proofErr w:type="spellStart"/>
      <w:r w:rsidRPr="002E6EDE">
        <w:rPr>
          <w:i/>
        </w:rPr>
        <w:t>trimestrale</w:t>
      </w:r>
      <w:proofErr w:type="spellEnd"/>
      <w:r w:rsidRPr="002E6EDE">
        <w:rPr>
          <w:i/>
        </w:rPr>
        <w:t xml:space="preserve"> di </w:t>
      </w:r>
      <w:proofErr w:type="spellStart"/>
      <w:r w:rsidRPr="002E6EDE">
        <w:rPr>
          <w:i/>
        </w:rPr>
        <w:t>studi</w:t>
      </w:r>
      <w:proofErr w:type="spellEnd"/>
      <w:r w:rsidRPr="002E6EDE">
        <w:rPr>
          <w:i/>
        </w:rPr>
        <w:t xml:space="preserve"> e </w:t>
      </w:r>
      <w:proofErr w:type="spellStart"/>
      <w:r w:rsidRPr="002E6EDE">
        <w:rPr>
          <w:i/>
        </w:rPr>
        <w:t>documentazione</w:t>
      </w:r>
      <w:proofErr w:type="spellEnd"/>
      <w:r w:rsidRPr="002E6EDE">
        <w:rPr>
          <w:i/>
        </w:rPr>
        <w:t xml:space="preserve"> </w:t>
      </w:r>
      <w:proofErr w:type="spellStart"/>
      <w:r w:rsidRPr="002E6EDE">
        <w:rPr>
          <w:i/>
        </w:rPr>
        <w:t>dell'Istituto</w:t>
      </w:r>
      <w:proofErr w:type="spellEnd"/>
      <w:r w:rsidRPr="002E6EDE">
        <w:rPr>
          <w:i/>
        </w:rPr>
        <w:t xml:space="preserve"> </w:t>
      </w:r>
      <w:proofErr w:type="spellStart"/>
      <w:r w:rsidRPr="002E6EDE">
        <w:rPr>
          <w:i/>
        </w:rPr>
        <w:t>italiano</w:t>
      </w:r>
      <w:proofErr w:type="spellEnd"/>
      <w:r w:rsidRPr="002E6EDE">
        <w:rPr>
          <w:i/>
        </w:rPr>
        <w:t xml:space="preserve"> per </w:t>
      </w:r>
      <w:proofErr w:type="spellStart"/>
      <w:r w:rsidRPr="002E6EDE">
        <w:rPr>
          <w:i/>
        </w:rPr>
        <w:t>l'Africa</w:t>
      </w:r>
      <w:proofErr w:type="spellEnd"/>
      <w:r w:rsidRPr="002E6EDE">
        <w:rPr>
          <w:i/>
        </w:rPr>
        <w:t xml:space="preserve"> e </w:t>
      </w:r>
      <w:proofErr w:type="spellStart"/>
      <w:r w:rsidRPr="002E6EDE">
        <w:rPr>
          <w:i/>
        </w:rPr>
        <w:t>l'Oriente</w:t>
      </w:r>
      <w:proofErr w:type="spellEnd"/>
      <w:r>
        <w:rPr>
          <w:i/>
        </w:rPr>
        <w:t xml:space="preserve"> </w:t>
      </w:r>
      <w:r>
        <w:t>39, No. 2 (1984), 305.</w:t>
      </w:r>
    </w:p>
  </w:footnote>
  <w:footnote w:id="22">
    <w:p w14:paraId="0B6160E2" w14:textId="77777777" w:rsidR="0025406B" w:rsidRDefault="0025406B" w:rsidP="000E20F4">
      <w:pPr>
        <w:pStyle w:val="FootnoteText"/>
      </w:pPr>
      <w:r>
        <w:rPr>
          <w:rStyle w:val="FootnoteReference"/>
        </w:rPr>
        <w:footnoteRef/>
      </w:r>
      <w:r>
        <w:t xml:space="preserve"> R. A. May, “The State of Chad: Political Factions and Political Decay / Factions Politiques et Decadence de </w:t>
      </w:r>
      <w:proofErr w:type="spellStart"/>
      <w:r>
        <w:t>l'Etat</w:t>
      </w:r>
      <w:proofErr w:type="spellEnd"/>
      <w:r>
        <w:t xml:space="preserve"> </w:t>
      </w:r>
      <w:proofErr w:type="spellStart"/>
      <w:r>
        <w:t>Tchadien</w:t>
      </w:r>
      <w:proofErr w:type="spellEnd"/>
      <w:r>
        <w:t xml:space="preserve">,” </w:t>
      </w:r>
      <w:proofErr w:type="spellStart"/>
      <w:r>
        <w:rPr>
          <w:i/>
        </w:rPr>
        <w:t>Civilisations</w:t>
      </w:r>
      <w:proofErr w:type="spellEnd"/>
      <w:r>
        <w:t xml:space="preserve"> 33, No. 2 (1983), 120.</w:t>
      </w:r>
    </w:p>
  </w:footnote>
  <w:footnote w:id="23">
    <w:p w14:paraId="31CE849C" w14:textId="77777777" w:rsidR="0025406B" w:rsidRDefault="0025406B" w:rsidP="007136F7">
      <w:pPr>
        <w:pStyle w:val="FootnoteText"/>
      </w:pPr>
      <w:r>
        <w:rPr>
          <w:rStyle w:val="FootnoteReference"/>
        </w:rPr>
        <w:footnoteRef/>
      </w:r>
      <w:r>
        <w:t xml:space="preserve"> E. G. H. Joffe, “Libya and Chad,” </w:t>
      </w:r>
      <w:r>
        <w:rPr>
          <w:i/>
        </w:rPr>
        <w:t>Review of African Politica</w:t>
      </w:r>
      <w:r w:rsidRPr="007136F7">
        <w:rPr>
          <w:i/>
        </w:rPr>
        <w:t>l Economy</w:t>
      </w:r>
      <w:r>
        <w:rPr>
          <w:i/>
        </w:rPr>
        <w:t>,</w:t>
      </w:r>
      <w:r>
        <w:t xml:space="preserve"> no. 21 (1981), </w:t>
      </w:r>
      <w:r w:rsidRPr="007136F7">
        <w:t>88</w:t>
      </w:r>
      <w:r>
        <w:t xml:space="preserve">-89. </w:t>
      </w:r>
    </w:p>
  </w:footnote>
  <w:footnote w:id="24">
    <w:p w14:paraId="5AC22B96" w14:textId="77777777" w:rsidR="0025406B" w:rsidRDefault="0025406B">
      <w:pPr>
        <w:pStyle w:val="FootnoteText"/>
      </w:pPr>
      <w:r>
        <w:rPr>
          <w:rStyle w:val="FootnoteReference"/>
        </w:rPr>
        <w:footnoteRef/>
      </w:r>
      <w:r>
        <w:t xml:space="preserve"> Samuel </w:t>
      </w:r>
      <w:proofErr w:type="spellStart"/>
      <w:r>
        <w:t>Decalo</w:t>
      </w:r>
      <w:proofErr w:type="spellEnd"/>
      <w:r>
        <w:t xml:space="preserve">, “Regionalism, Political Decay, and Civil Strife in Chad,” </w:t>
      </w:r>
      <w:r>
        <w:rPr>
          <w:i/>
        </w:rPr>
        <w:t xml:space="preserve">The Journal of Modern African </w:t>
      </w:r>
      <w:r w:rsidRPr="007136F7">
        <w:rPr>
          <w:i/>
        </w:rPr>
        <w:t>Studies</w:t>
      </w:r>
      <w:r>
        <w:rPr>
          <w:i/>
        </w:rPr>
        <w:t xml:space="preserve"> </w:t>
      </w:r>
      <w:r>
        <w:t xml:space="preserve">18, No. 1 (1980), </w:t>
      </w:r>
      <w:r w:rsidRPr="007136F7">
        <w:t>30</w:t>
      </w:r>
      <w:r>
        <w:t>.</w:t>
      </w:r>
    </w:p>
  </w:footnote>
  <w:footnote w:id="25">
    <w:p w14:paraId="660F0E4E" w14:textId="77777777" w:rsidR="0025406B" w:rsidRPr="00620BDE" w:rsidRDefault="0025406B">
      <w:pPr>
        <w:pStyle w:val="FootnoteText"/>
      </w:pPr>
      <w:r>
        <w:rPr>
          <w:rStyle w:val="FootnoteReference"/>
        </w:rPr>
        <w:footnoteRef/>
      </w:r>
      <w:r>
        <w:t xml:space="preserve"> Leigh H. Bruce, “Cyprus: A Last Chance,” </w:t>
      </w:r>
      <w:r>
        <w:rPr>
          <w:i/>
        </w:rPr>
        <w:t>Foreign Policy</w:t>
      </w:r>
      <w:r>
        <w:t>, No. 58 (1985), 115-133.</w:t>
      </w:r>
    </w:p>
  </w:footnote>
  <w:footnote w:id="26">
    <w:p w14:paraId="6AA4A6FE" w14:textId="77777777" w:rsidR="0025406B" w:rsidRPr="00627220" w:rsidRDefault="0025406B">
      <w:pPr>
        <w:pStyle w:val="FootnoteText"/>
      </w:pPr>
      <w:r>
        <w:rPr>
          <w:rStyle w:val="FootnoteReference"/>
        </w:rPr>
        <w:footnoteRef/>
      </w:r>
      <w:r>
        <w:t xml:space="preserve"> </w:t>
      </w:r>
      <w:proofErr w:type="spellStart"/>
      <w:r>
        <w:t>Vassilis</w:t>
      </w:r>
      <w:proofErr w:type="spellEnd"/>
      <w:r>
        <w:t xml:space="preserve"> K. </w:t>
      </w:r>
      <w:proofErr w:type="spellStart"/>
      <w:r>
        <w:t>Fouskas</w:t>
      </w:r>
      <w:proofErr w:type="spellEnd"/>
      <w:r>
        <w:t xml:space="preserve">, “Reflections on the Cyprus Issue and the Turkish Invasions of 1974,” </w:t>
      </w:r>
      <w:r>
        <w:rPr>
          <w:i/>
        </w:rPr>
        <w:t>Mediterranean Quarterly</w:t>
      </w:r>
      <w:r>
        <w:t xml:space="preserve"> 12, No. 3 (2001), 98-127.</w:t>
      </w:r>
    </w:p>
  </w:footnote>
  <w:footnote w:id="27">
    <w:p w14:paraId="49A74440" w14:textId="77777777" w:rsidR="0025406B" w:rsidRDefault="0025406B">
      <w:pPr>
        <w:pStyle w:val="FootnoteText"/>
      </w:pPr>
      <w:r>
        <w:rPr>
          <w:rStyle w:val="FootnoteReference"/>
        </w:rPr>
        <w:footnoteRef/>
      </w:r>
      <w:r>
        <w:t xml:space="preserve"> F. Stephen Larrabee and Ian O. Lesser, “Relations with Greece and the Balkans,” in </w:t>
      </w:r>
      <w:r>
        <w:rPr>
          <w:i/>
        </w:rPr>
        <w:t>Turkish Foreign Policy in and Age of Uncertainty</w:t>
      </w:r>
      <w:r>
        <w:t>. (Santa Monica, CA: RAND Corporation, 2013), 78-79.</w:t>
      </w:r>
    </w:p>
  </w:footnote>
  <w:footnote w:id="28">
    <w:p w14:paraId="30F22D42" w14:textId="77777777" w:rsidR="0025406B" w:rsidRDefault="0025406B">
      <w:pPr>
        <w:pStyle w:val="FootnoteText"/>
      </w:pPr>
      <w:r>
        <w:rPr>
          <w:rStyle w:val="FootnoteReference"/>
        </w:rPr>
        <w:footnoteRef/>
      </w:r>
      <w:r>
        <w:t xml:space="preserve"> George </w:t>
      </w:r>
      <w:proofErr w:type="spellStart"/>
      <w:r>
        <w:t>Kazamias</w:t>
      </w:r>
      <w:proofErr w:type="spellEnd"/>
      <w:r>
        <w:t xml:space="preserve">, “From Pragmatism to Idealism to Failure: Britain in the Cyprus crisis of 1974,” </w:t>
      </w:r>
      <w:r w:rsidRPr="00CC719C">
        <w:rPr>
          <w:i/>
        </w:rPr>
        <w:t>Hellenic Observatory Papers on Greece and Southeast Europe</w:t>
      </w:r>
      <w:r>
        <w:t xml:space="preserve">, </w:t>
      </w:r>
      <w:proofErr w:type="spellStart"/>
      <w:r>
        <w:t>GreeSE</w:t>
      </w:r>
      <w:proofErr w:type="spellEnd"/>
      <w:r>
        <w:t xml:space="preserve"> Paper No. 42, December 2010. </w:t>
      </w:r>
      <w:hyperlink r:id="rId1" w:history="1">
        <w:r>
          <w:rPr>
            <w:rStyle w:val="Hyperlink"/>
          </w:rPr>
          <w:t>http://eprints.lse.ac.uk/31090/1/GreeSE_No42.pdf</w:t>
        </w:r>
      </w:hyperlink>
      <w:r>
        <w:t xml:space="preserve"> (accessed July 5, 2019). </w:t>
      </w:r>
    </w:p>
  </w:footnote>
  <w:footnote w:id="29">
    <w:p w14:paraId="55BF06EE" w14:textId="77777777" w:rsidR="0025406B" w:rsidRDefault="0025406B">
      <w:pPr>
        <w:pStyle w:val="FootnoteText"/>
      </w:pPr>
      <w:r>
        <w:rPr>
          <w:rStyle w:val="FootnoteReference"/>
        </w:rPr>
        <w:footnoteRef/>
      </w:r>
      <w:r>
        <w:t xml:space="preserve"> </w:t>
      </w:r>
      <w:proofErr w:type="spellStart"/>
      <w:r>
        <w:t>Fouskas</w:t>
      </w:r>
      <w:proofErr w:type="spellEnd"/>
      <w:r>
        <w:t>, “Reflections on the Cyprus Issue,” 118-119.</w:t>
      </w:r>
    </w:p>
  </w:footnote>
  <w:footnote w:id="30">
    <w:p w14:paraId="1C79BD04" w14:textId="77777777" w:rsidR="0025406B" w:rsidRDefault="0025406B">
      <w:pPr>
        <w:pStyle w:val="FootnoteText"/>
      </w:pPr>
      <w:r>
        <w:rPr>
          <w:rStyle w:val="FootnoteReference"/>
        </w:rPr>
        <w:footnoteRef/>
      </w:r>
      <w:r>
        <w:t xml:space="preserve"> </w:t>
      </w:r>
      <w:proofErr w:type="spellStart"/>
      <w:r w:rsidRPr="00062C4A">
        <w:t>Nzongola-Ntalaja</w:t>
      </w:r>
      <w:proofErr w:type="spellEnd"/>
      <w:r>
        <w:t>, “</w:t>
      </w:r>
      <w:r w:rsidRPr="00062C4A">
        <w:t>The Continuing Struggle for National Liberation in Zaire</w:t>
      </w:r>
      <w:r>
        <w:t xml:space="preserve">,” </w:t>
      </w:r>
      <w:r w:rsidRPr="00062C4A">
        <w:rPr>
          <w:i/>
        </w:rPr>
        <w:t>The Journal of Modern African Studies</w:t>
      </w:r>
      <w:r w:rsidRPr="00062C4A">
        <w:t xml:space="preserve"> 17, No. 4 (1979)</w:t>
      </w:r>
      <w:r>
        <w:t>, 601-602.</w:t>
      </w:r>
    </w:p>
  </w:footnote>
  <w:footnote w:id="31">
    <w:p w14:paraId="05551328" w14:textId="77777777" w:rsidR="0025406B" w:rsidRDefault="0025406B">
      <w:pPr>
        <w:pStyle w:val="FootnoteText"/>
      </w:pPr>
      <w:r>
        <w:rPr>
          <w:rStyle w:val="FootnoteReference"/>
        </w:rPr>
        <w:footnoteRef/>
      </w:r>
      <w:r>
        <w:t xml:space="preserve"> Mel McNulty, “The Collapse of Zaire: Implosion, Revolution or External Sabotage?” </w:t>
      </w:r>
      <w:r>
        <w:rPr>
          <w:i/>
        </w:rPr>
        <w:t>The Journal of Modern African Studies</w:t>
      </w:r>
      <w:r>
        <w:t xml:space="preserve"> 37, No. 1 (1999), 62-64.</w:t>
      </w:r>
    </w:p>
  </w:footnote>
  <w:footnote w:id="32">
    <w:p w14:paraId="2BCC8AB2" w14:textId="77777777" w:rsidR="0025406B" w:rsidRDefault="0025406B" w:rsidP="00D716C4">
      <w:pPr>
        <w:pStyle w:val="FootnoteText"/>
      </w:pPr>
      <w:r>
        <w:rPr>
          <w:rStyle w:val="FootnoteReference"/>
        </w:rPr>
        <w:footnoteRef/>
      </w:r>
      <w:r>
        <w:t xml:space="preserve"> Pierre </w:t>
      </w:r>
      <w:proofErr w:type="spellStart"/>
      <w:r>
        <w:t>Englebert</w:t>
      </w:r>
      <w:proofErr w:type="spellEnd"/>
      <w:r>
        <w:t>, "Why Congo Persists: Sovereignty, Globalization and the Violent</w:t>
      </w:r>
    </w:p>
    <w:p w14:paraId="60F1AC19" w14:textId="77777777" w:rsidR="0025406B" w:rsidRDefault="0025406B" w:rsidP="00D716C4">
      <w:pPr>
        <w:pStyle w:val="FootnoteText"/>
      </w:pPr>
      <w:r>
        <w:t xml:space="preserve">Reproduction of a Weak State," In </w:t>
      </w:r>
      <w:r w:rsidRPr="00D716C4">
        <w:rPr>
          <w:i/>
        </w:rPr>
        <w:t>QEH Working Paper Series</w:t>
      </w:r>
      <w:r>
        <w:t>, 2003, 19</w:t>
      </w:r>
    </w:p>
  </w:footnote>
  <w:footnote w:id="33">
    <w:p w14:paraId="32642854" w14:textId="77777777" w:rsidR="0025406B" w:rsidRDefault="0025406B">
      <w:pPr>
        <w:pStyle w:val="FootnoteText"/>
      </w:pPr>
      <w:r>
        <w:rPr>
          <w:rStyle w:val="FootnoteReference"/>
        </w:rPr>
        <w:footnoteRef/>
      </w:r>
      <w:r>
        <w:t xml:space="preserve"> </w:t>
      </w:r>
      <w:proofErr w:type="spellStart"/>
      <w:r w:rsidRPr="00062C4A">
        <w:t>Nzongola-Ntalaja</w:t>
      </w:r>
      <w:proofErr w:type="spellEnd"/>
      <w:r>
        <w:t>, “The Continuing Struggle,” 602.</w:t>
      </w:r>
    </w:p>
  </w:footnote>
  <w:footnote w:id="34">
    <w:p w14:paraId="476BF1E9" w14:textId="77777777" w:rsidR="0025406B" w:rsidRDefault="0025406B" w:rsidP="009B6067">
      <w:pPr>
        <w:pStyle w:val="FootnoteText"/>
      </w:pPr>
      <w:r>
        <w:rPr>
          <w:rStyle w:val="FootnoteReference"/>
        </w:rPr>
        <w:footnoteRef/>
      </w:r>
      <w:r>
        <w:t xml:space="preserve"> Piero </w:t>
      </w:r>
      <w:proofErr w:type="spellStart"/>
      <w:r>
        <w:t>Gleijeses</w:t>
      </w:r>
      <w:proofErr w:type="spellEnd"/>
      <w:r>
        <w:t xml:space="preserve">, “Truth or Credibility: Castro, Carter, and the Invasions of Shaba,” </w:t>
      </w:r>
      <w:r w:rsidRPr="009B6067">
        <w:rPr>
          <w:i/>
        </w:rPr>
        <w:t>The International History Review</w:t>
      </w:r>
      <w:r>
        <w:t xml:space="preserve"> 18, No. 1 (1996), 72.</w:t>
      </w:r>
    </w:p>
  </w:footnote>
  <w:footnote w:id="35">
    <w:p w14:paraId="132C57DB" w14:textId="77777777" w:rsidR="0025406B" w:rsidRDefault="0025406B">
      <w:pPr>
        <w:pStyle w:val="FootnoteText"/>
      </w:pPr>
      <w:r>
        <w:rPr>
          <w:rStyle w:val="FootnoteReference"/>
        </w:rPr>
        <w:footnoteRef/>
      </w:r>
      <w:r>
        <w:t xml:space="preserve"> </w:t>
      </w:r>
      <w:proofErr w:type="spellStart"/>
      <w:r>
        <w:t>Englebert</w:t>
      </w:r>
      <w:proofErr w:type="spellEnd"/>
      <w:r>
        <w:t>, “Why Congo Persists,” 20</w:t>
      </w:r>
    </w:p>
  </w:footnote>
  <w:footnote w:id="36">
    <w:p w14:paraId="273328BA" w14:textId="77777777" w:rsidR="0025406B" w:rsidRDefault="0025406B">
      <w:pPr>
        <w:pStyle w:val="FootnoteText"/>
      </w:pPr>
      <w:r>
        <w:rPr>
          <w:rStyle w:val="FootnoteReference"/>
        </w:rPr>
        <w:footnoteRef/>
      </w:r>
      <w:r>
        <w:t xml:space="preserve"> Said Amir </w:t>
      </w:r>
      <w:proofErr w:type="spellStart"/>
      <w:r>
        <w:t>Arjomand</w:t>
      </w:r>
      <w:proofErr w:type="spellEnd"/>
      <w:r>
        <w:t xml:space="preserve">, “The Causes and Significance of the Iranian Revolution,” </w:t>
      </w:r>
      <w:r>
        <w:rPr>
          <w:i/>
        </w:rPr>
        <w:t>State, Culture, and Society</w:t>
      </w:r>
      <w:r>
        <w:t xml:space="preserve"> 1, No. 3 (1985), 51-53; these included the “clerical estate… leftist guerillas, the Westernized Bourgeoise as represented by the National Front and the Bar Association, and the traditional bourgeoisie of the bazaar” (51).</w:t>
      </w:r>
    </w:p>
  </w:footnote>
  <w:footnote w:id="37">
    <w:p w14:paraId="70AE3BF0" w14:textId="77777777" w:rsidR="0025406B" w:rsidRDefault="0025406B">
      <w:pPr>
        <w:pStyle w:val="FootnoteText"/>
      </w:pPr>
      <w:r>
        <w:rPr>
          <w:rStyle w:val="FootnoteReference"/>
        </w:rPr>
        <w:footnoteRef/>
      </w:r>
      <w:r>
        <w:t xml:space="preserve"> Fred Halladay, “The Genesis of the Iranian Revolution,” </w:t>
      </w:r>
      <w:r>
        <w:rPr>
          <w:i/>
        </w:rPr>
        <w:t>Third World Quarterly</w:t>
      </w:r>
      <w:r>
        <w:t xml:space="preserve"> 1, No. 4 (1979), 1-9.</w:t>
      </w:r>
    </w:p>
  </w:footnote>
  <w:footnote w:id="38">
    <w:p w14:paraId="673E5441" w14:textId="77777777" w:rsidR="0025406B" w:rsidRDefault="0025406B">
      <w:pPr>
        <w:pStyle w:val="FootnoteText"/>
      </w:pPr>
      <w:r>
        <w:rPr>
          <w:rStyle w:val="FootnoteReference"/>
        </w:rPr>
        <w:footnoteRef/>
      </w:r>
      <w:r>
        <w:t xml:space="preserve"> Ibid. 10-11</w:t>
      </w:r>
    </w:p>
  </w:footnote>
  <w:footnote w:id="39">
    <w:p w14:paraId="5D333B5F" w14:textId="77777777" w:rsidR="0025406B" w:rsidRPr="00797BD6" w:rsidRDefault="0025406B">
      <w:pPr>
        <w:pStyle w:val="FootnoteText"/>
      </w:pPr>
      <w:r>
        <w:rPr>
          <w:rStyle w:val="FootnoteReference"/>
        </w:rPr>
        <w:footnoteRef/>
      </w:r>
      <w:r>
        <w:t xml:space="preserve"> James A. Bill, “Power and Religion in Revolutionary Iran,” </w:t>
      </w:r>
      <w:r>
        <w:rPr>
          <w:i/>
        </w:rPr>
        <w:t>Middle East Journal</w:t>
      </w:r>
      <w:r>
        <w:t xml:space="preserve"> 36, No. 1 (1982), 22-47; with that said, many of the revolutionaries rejected violence (see: Jerrold D. Green, “</w:t>
      </w:r>
      <w:proofErr w:type="spellStart"/>
      <w:r>
        <w:t>Pseudoparticipation</w:t>
      </w:r>
      <w:proofErr w:type="spellEnd"/>
      <w:r>
        <w:t xml:space="preserve"> and Countermobilization: Roots of the Iranian Revolution,” </w:t>
      </w:r>
      <w:r>
        <w:rPr>
          <w:i/>
        </w:rPr>
        <w:t>Iranian Studies</w:t>
      </w:r>
      <w:r>
        <w:t xml:space="preserve"> 13, No 1/4 (1980), 31.)</w:t>
      </w:r>
    </w:p>
  </w:footnote>
  <w:footnote w:id="40">
    <w:p w14:paraId="11798BB9" w14:textId="77777777" w:rsidR="0025406B" w:rsidRDefault="0025406B">
      <w:pPr>
        <w:pStyle w:val="FootnoteText"/>
      </w:pPr>
      <w:r>
        <w:rPr>
          <w:rStyle w:val="FootnoteReference"/>
        </w:rPr>
        <w:footnoteRef/>
      </w:r>
      <w:r>
        <w:t xml:space="preserve"> </w:t>
      </w:r>
      <w:proofErr w:type="spellStart"/>
      <w:r>
        <w:t>Ervand</w:t>
      </w:r>
      <w:proofErr w:type="spellEnd"/>
      <w:r>
        <w:t xml:space="preserve"> Abrahamian, “Structural Causes of the Iranian Revolution,” </w:t>
      </w:r>
      <w:r>
        <w:rPr>
          <w:i/>
        </w:rPr>
        <w:t>MERIP Reports</w:t>
      </w:r>
      <w:r>
        <w:t>, No. 87 (1980), 21</w:t>
      </w:r>
    </w:p>
  </w:footnote>
  <w:footnote w:id="41">
    <w:p w14:paraId="7EF1F45F" w14:textId="77777777" w:rsidR="0025406B" w:rsidRDefault="0025406B">
      <w:pPr>
        <w:pStyle w:val="FootnoteText"/>
      </w:pPr>
      <w:r>
        <w:rPr>
          <w:rStyle w:val="FootnoteReference"/>
        </w:rPr>
        <w:footnoteRef/>
      </w:r>
      <w:r>
        <w:t xml:space="preserve"> L. P. Elwell-Sutton, “The Iranian Revolution,” </w:t>
      </w:r>
      <w:r>
        <w:rPr>
          <w:i/>
        </w:rPr>
        <w:t>International Journal</w:t>
      </w:r>
      <w:r>
        <w:t xml:space="preserve"> 34, No. 3 (1979), 405-407</w:t>
      </w:r>
    </w:p>
  </w:footnote>
  <w:footnote w:id="42">
    <w:p w14:paraId="2338DB3F" w14:textId="77777777" w:rsidR="0025406B" w:rsidRDefault="0025406B">
      <w:pPr>
        <w:pStyle w:val="FootnoteText"/>
      </w:pPr>
      <w:r>
        <w:rPr>
          <w:rStyle w:val="FootnoteReference"/>
        </w:rPr>
        <w:footnoteRef/>
      </w:r>
      <w:r>
        <w:t xml:space="preserve"> </w:t>
      </w:r>
      <w:proofErr w:type="spellStart"/>
      <w:r>
        <w:t>Shahrough</w:t>
      </w:r>
      <w:proofErr w:type="spellEnd"/>
      <w:r>
        <w:t xml:space="preserve"> </w:t>
      </w:r>
      <w:proofErr w:type="spellStart"/>
      <w:r>
        <w:t>Akhavi</w:t>
      </w:r>
      <w:proofErr w:type="spellEnd"/>
      <w:r>
        <w:t xml:space="preserve">, “The Ideology and Praxis of Shi’ism in the Iranian Revolution,” </w:t>
      </w:r>
      <w:r>
        <w:rPr>
          <w:i/>
        </w:rPr>
        <w:t xml:space="preserve">Comparative Studies in Society and </w:t>
      </w:r>
      <w:r w:rsidRPr="00797BD6">
        <w:t>History</w:t>
      </w:r>
      <w:r>
        <w:t xml:space="preserve"> 25, No. 2 (1983), </w:t>
      </w:r>
      <w:r w:rsidRPr="00797BD6">
        <w:t>208</w:t>
      </w:r>
      <w:r>
        <w:t xml:space="preserve">-219; Elaine </w:t>
      </w:r>
      <w:proofErr w:type="spellStart"/>
      <w:r>
        <w:t>Schiolino</w:t>
      </w:r>
      <w:proofErr w:type="spellEnd"/>
      <w:r>
        <w:t xml:space="preserve">, “Iran’s Durable Revolution,” </w:t>
      </w:r>
      <w:r>
        <w:rPr>
          <w:i/>
        </w:rPr>
        <w:t>Foreign Affairs</w:t>
      </w:r>
      <w:r>
        <w:t xml:space="preserve"> 61, No. 4 (1983), 895-897.</w:t>
      </w:r>
    </w:p>
  </w:footnote>
  <w:footnote w:id="43">
    <w:p w14:paraId="573FC7BE" w14:textId="77777777" w:rsidR="0025406B" w:rsidRDefault="0025406B">
      <w:pPr>
        <w:pStyle w:val="FootnoteText"/>
      </w:pPr>
      <w:r>
        <w:rPr>
          <w:rStyle w:val="FootnoteReference"/>
        </w:rPr>
        <w:footnoteRef/>
      </w:r>
      <w:r>
        <w:t xml:space="preserve"> Abrahamian, “Structural Causes,” 21-26.</w:t>
      </w:r>
    </w:p>
  </w:footnote>
  <w:footnote w:id="44">
    <w:p w14:paraId="44DEA548" w14:textId="77777777" w:rsidR="0025406B" w:rsidRDefault="0025406B">
      <w:pPr>
        <w:pStyle w:val="FootnoteText"/>
      </w:pPr>
      <w:r>
        <w:rPr>
          <w:rStyle w:val="FootnoteReference"/>
        </w:rPr>
        <w:footnoteRef/>
      </w:r>
      <w:r>
        <w:t xml:space="preserve">  C. J. Edmonds, “Kurdish Nationalism,” </w:t>
      </w:r>
      <w:r>
        <w:rPr>
          <w:i/>
        </w:rPr>
        <w:t>Journal of Contemporary History</w:t>
      </w:r>
      <w:r>
        <w:t xml:space="preserve"> 6, No. 1 (1971), 99-100.</w:t>
      </w:r>
    </w:p>
  </w:footnote>
  <w:footnote w:id="45">
    <w:p w14:paraId="2C778C28" w14:textId="77777777" w:rsidR="0025406B" w:rsidRDefault="0025406B" w:rsidP="005942C3">
      <w:pPr>
        <w:pStyle w:val="FootnoteText"/>
      </w:pPr>
      <w:r>
        <w:rPr>
          <w:rStyle w:val="FootnoteReference"/>
        </w:rPr>
        <w:footnoteRef/>
      </w:r>
      <w:r>
        <w:t xml:space="preserve"> George S. Harris, “Ethnic Conflict and the Kurds,” </w:t>
      </w:r>
      <w:r w:rsidRPr="005942C3">
        <w:rPr>
          <w:i/>
        </w:rPr>
        <w:t>The Annals of the American Academy of Political and Social Science</w:t>
      </w:r>
      <w:r>
        <w:t xml:space="preserve"> 433 (1977), 113-114.</w:t>
      </w:r>
    </w:p>
  </w:footnote>
  <w:footnote w:id="46">
    <w:p w14:paraId="01489B93" w14:textId="77777777" w:rsidR="0025406B" w:rsidRDefault="0025406B">
      <w:pPr>
        <w:pStyle w:val="FootnoteText"/>
      </w:pPr>
      <w:r>
        <w:rPr>
          <w:rStyle w:val="FootnoteReference"/>
        </w:rPr>
        <w:footnoteRef/>
      </w:r>
      <w:r>
        <w:t xml:space="preserve"> C. J. Edmonds, “The Kurdish War in Iraq: The Constitutional Background,” </w:t>
      </w:r>
      <w:r>
        <w:rPr>
          <w:i/>
        </w:rPr>
        <w:t xml:space="preserve">The World Today </w:t>
      </w:r>
      <w:r>
        <w:t>24, No. 12 (1968), 514-515.</w:t>
      </w:r>
    </w:p>
  </w:footnote>
  <w:footnote w:id="47">
    <w:p w14:paraId="5984FCFD" w14:textId="77777777" w:rsidR="0025406B" w:rsidRDefault="0025406B">
      <w:pPr>
        <w:pStyle w:val="FootnoteText"/>
      </w:pPr>
      <w:r>
        <w:rPr>
          <w:rStyle w:val="FootnoteReference"/>
        </w:rPr>
        <w:footnoteRef/>
      </w:r>
      <w:r>
        <w:t xml:space="preserve"> Edmonds, “Kurdish Nationalism,” 100-102.</w:t>
      </w:r>
    </w:p>
  </w:footnote>
  <w:footnote w:id="48">
    <w:p w14:paraId="5DEA64A7" w14:textId="77777777" w:rsidR="0025406B" w:rsidRDefault="0025406B">
      <w:pPr>
        <w:pStyle w:val="FootnoteText"/>
      </w:pPr>
      <w:r>
        <w:rPr>
          <w:rStyle w:val="FootnoteReference"/>
        </w:rPr>
        <w:footnoteRef/>
      </w:r>
      <w:r>
        <w:t xml:space="preserve"> Edgar </w:t>
      </w:r>
      <w:proofErr w:type="spellStart"/>
      <w:r>
        <w:t>O’Ballance</w:t>
      </w:r>
      <w:proofErr w:type="spellEnd"/>
      <w:r>
        <w:t xml:space="preserve">, </w:t>
      </w:r>
      <w:r>
        <w:rPr>
          <w:i/>
        </w:rPr>
        <w:t>The Kurdish Revolt: 1961-1970</w:t>
      </w:r>
      <w:r>
        <w:t xml:space="preserve">. (Hamden, CT: Archon Books, 1973), 111, 123. </w:t>
      </w:r>
    </w:p>
  </w:footnote>
  <w:footnote w:id="49">
    <w:p w14:paraId="042451CF" w14:textId="77777777" w:rsidR="0025406B" w:rsidRDefault="0025406B">
      <w:pPr>
        <w:pStyle w:val="FootnoteText"/>
      </w:pPr>
      <w:r>
        <w:rPr>
          <w:rStyle w:val="FootnoteReference"/>
        </w:rPr>
        <w:footnoteRef/>
      </w:r>
      <w:r>
        <w:t xml:space="preserve"> Ibid. 111.</w:t>
      </w:r>
    </w:p>
  </w:footnote>
  <w:footnote w:id="50">
    <w:p w14:paraId="00631E56" w14:textId="77777777" w:rsidR="0025406B" w:rsidRDefault="0025406B">
      <w:pPr>
        <w:pStyle w:val="FootnoteText"/>
      </w:pPr>
      <w:r>
        <w:rPr>
          <w:rStyle w:val="FootnoteReference"/>
        </w:rPr>
        <w:footnoteRef/>
      </w:r>
      <w:r>
        <w:t xml:space="preserve"> Mark Lewis, “Historical Setting,” </w:t>
      </w:r>
      <w:r>
        <w:rPr>
          <w:i/>
        </w:rPr>
        <w:t xml:space="preserve">Iraq: a country </w:t>
      </w:r>
      <w:r w:rsidRPr="00156C41">
        <w:rPr>
          <w:i/>
        </w:rPr>
        <w:t>study</w:t>
      </w:r>
      <w:r w:rsidRPr="00156C41">
        <w:t>,</w:t>
      </w:r>
      <w:r>
        <w:t xml:space="preserve"> ed. Helen Chapin Metz, (Washington, DC: Federal Research Division, Library of Congress, 1990), </w:t>
      </w:r>
      <w:r w:rsidRPr="008D384B">
        <w:t>56</w:t>
      </w:r>
      <w:r>
        <w:t>.</w:t>
      </w:r>
    </w:p>
  </w:footnote>
  <w:footnote w:id="51">
    <w:p w14:paraId="758F7C31" w14:textId="77777777" w:rsidR="0025406B" w:rsidRPr="00156C41" w:rsidRDefault="0025406B">
      <w:pPr>
        <w:pStyle w:val="FootnoteText"/>
      </w:pPr>
      <w:r>
        <w:rPr>
          <w:rStyle w:val="FootnoteReference"/>
        </w:rPr>
        <w:footnoteRef/>
      </w:r>
      <w:r>
        <w:t xml:space="preserve"> </w:t>
      </w:r>
      <w:proofErr w:type="spellStart"/>
      <w:r>
        <w:t>O’Ballance</w:t>
      </w:r>
      <w:proofErr w:type="spellEnd"/>
      <w:r>
        <w:t xml:space="preserve">, </w:t>
      </w:r>
      <w:r>
        <w:rPr>
          <w:i/>
        </w:rPr>
        <w:t>Kurdish Revolt</w:t>
      </w:r>
      <w:r>
        <w:t>, 123.</w:t>
      </w:r>
    </w:p>
  </w:footnote>
  <w:footnote w:id="52">
    <w:p w14:paraId="1C9C516D" w14:textId="77777777" w:rsidR="0025406B" w:rsidRDefault="0025406B">
      <w:pPr>
        <w:pStyle w:val="FootnoteText"/>
      </w:pPr>
      <w:r>
        <w:rPr>
          <w:rStyle w:val="FootnoteReference"/>
        </w:rPr>
        <w:footnoteRef/>
      </w:r>
      <w:r>
        <w:t xml:space="preserve"> David McDowall, </w:t>
      </w:r>
      <w:r>
        <w:rPr>
          <w:i/>
        </w:rPr>
        <w:t xml:space="preserve">A Modern History of the </w:t>
      </w:r>
      <w:r w:rsidRPr="0044748D">
        <w:rPr>
          <w:i/>
        </w:rPr>
        <w:t>Kurds</w:t>
      </w:r>
      <w:r>
        <w:rPr>
          <w:i/>
        </w:rPr>
        <w:t xml:space="preserve"> </w:t>
      </w:r>
      <w:r>
        <w:t xml:space="preserve">(New York: I.B. Tauris, 2007), 316-317; moreover, it appears as though the presiding officers in each assembly would be better described as allies than cronies—the plan for the assemblies was to assuage political rivals that it would be neutral (see: 316). </w:t>
      </w:r>
    </w:p>
  </w:footnote>
  <w:footnote w:id="53">
    <w:p w14:paraId="33EC7A92" w14:textId="77777777" w:rsidR="0025406B" w:rsidRPr="00B17F71" w:rsidRDefault="0025406B">
      <w:pPr>
        <w:pStyle w:val="FootnoteText"/>
      </w:pPr>
      <w:r>
        <w:rPr>
          <w:rStyle w:val="FootnoteReference"/>
        </w:rPr>
        <w:footnoteRef/>
      </w:r>
      <w:r>
        <w:t xml:space="preserve"> </w:t>
      </w:r>
      <w:proofErr w:type="spellStart"/>
      <w:r>
        <w:t>O’Ballance</w:t>
      </w:r>
      <w:proofErr w:type="spellEnd"/>
      <w:r>
        <w:t xml:space="preserve">, </w:t>
      </w:r>
      <w:r>
        <w:rPr>
          <w:i/>
        </w:rPr>
        <w:t>Kurdish Revolt</w:t>
      </w:r>
      <w:r>
        <w:t>, 111.</w:t>
      </w:r>
    </w:p>
  </w:footnote>
  <w:footnote w:id="54">
    <w:p w14:paraId="122700D1" w14:textId="77777777" w:rsidR="0025406B" w:rsidRDefault="0025406B">
      <w:pPr>
        <w:pStyle w:val="FootnoteText"/>
      </w:pPr>
      <w:r>
        <w:rPr>
          <w:rStyle w:val="FootnoteReference"/>
        </w:rPr>
        <w:footnoteRef/>
      </w:r>
      <w:r>
        <w:t xml:space="preserve"> Ibid. 123.</w:t>
      </w:r>
    </w:p>
  </w:footnote>
  <w:footnote w:id="55">
    <w:p w14:paraId="7D571A3A" w14:textId="77777777" w:rsidR="0025406B" w:rsidRDefault="0025406B">
      <w:pPr>
        <w:pStyle w:val="FootnoteText"/>
      </w:pPr>
      <w:r>
        <w:rPr>
          <w:rStyle w:val="FootnoteReference"/>
        </w:rPr>
        <w:footnoteRef/>
      </w:r>
      <w:r>
        <w:t xml:space="preserve"> Christopher Paul, Colin P. Clarke, Beth Grill, and Molly </w:t>
      </w:r>
      <w:proofErr w:type="spellStart"/>
      <w:r>
        <w:t>Dunigan</w:t>
      </w:r>
      <w:proofErr w:type="spellEnd"/>
      <w:r>
        <w:t xml:space="preserve">, “Iraqi Kurdistan, 1961-1975 Case Outcome: COIN Win” in </w:t>
      </w:r>
      <w:r>
        <w:rPr>
          <w:i/>
        </w:rPr>
        <w:t>Paths to Victory: Detailed Insurgency Case Studies</w:t>
      </w:r>
      <w:r>
        <w:t xml:space="preserve">. (Santa Monica, CA: RAND Corporation, 2013), 216-218; </w:t>
      </w:r>
      <w:proofErr w:type="gramStart"/>
      <w:r>
        <w:t>that is to say nothing</w:t>
      </w:r>
      <w:proofErr w:type="gramEnd"/>
      <w:r>
        <w:t xml:space="preserve"> regarding the military, though.</w:t>
      </w:r>
    </w:p>
  </w:footnote>
  <w:footnote w:id="56">
    <w:p w14:paraId="11962E24" w14:textId="77777777" w:rsidR="0025406B" w:rsidRPr="00457780" w:rsidRDefault="0025406B">
      <w:pPr>
        <w:pStyle w:val="FootnoteText"/>
      </w:pPr>
      <w:r>
        <w:rPr>
          <w:rStyle w:val="FootnoteReference"/>
        </w:rPr>
        <w:footnoteRef/>
      </w:r>
      <w:r>
        <w:t xml:space="preserve"> </w:t>
      </w:r>
      <w:proofErr w:type="spellStart"/>
      <w:r>
        <w:t>O’Ballance</w:t>
      </w:r>
      <w:proofErr w:type="spellEnd"/>
      <w:r>
        <w:t xml:space="preserve">, </w:t>
      </w:r>
      <w:r>
        <w:rPr>
          <w:i/>
        </w:rPr>
        <w:t>Kurdish Revolt</w:t>
      </w:r>
      <w:r>
        <w:t>, 111.</w:t>
      </w:r>
    </w:p>
  </w:footnote>
  <w:footnote w:id="57">
    <w:p w14:paraId="4974D359" w14:textId="77777777" w:rsidR="0025406B" w:rsidRDefault="0025406B">
      <w:pPr>
        <w:pStyle w:val="FootnoteText"/>
      </w:pPr>
      <w:r>
        <w:rPr>
          <w:rStyle w:val="FootnoteReference"/>
        </w:rPr>
        <w:footnoteRef/>
      </w:r>
      <w:r>
        <w:t xml:space="preserve"> Lewis, “Historical Setting,” 56.</w:t>
      </w:r>
    </w:p>
  </w:footnote>
  <w:footnote w:id="58">
    <w:p w14:paraId="21DCE6FC" w14:textId="77777777" w:rsidR="0025406B" w:rsidRDefault="0025406B">
      <w:pPr>
        <w:pStyle w:val="FootnoteText"/>
      </w:pPr>
      <w:r>
        <w:rPr>
          <w:rStyle w:val="FootnoteReference"/>
        </w:rPr>
        <w:footnoteRef/>
      </w:r>
      <w:r>
        <w:t xml:space="preserve"> David McDowall, </w:t>
      </w:r>
      <w:r>
        <w:rPr>
          <w:i/>
        </w:rPr>
        <w:t xml:space="preserve">A Modern History of the </w:t>
      </w:r>
      <w:r w:rsidRPr="0044748D">
        <w:rPr>
          <w:i/>
        </w:rPr>
        <w:t>Kurds</w:t>
      </w:r>
      <w:r>
        <w:rPr>
          <w:i/>
        </w:rPr>
        <w:t xml:space="preserve"> </w:t>
      </w:r>
      <w:r>
        <w:t xml:space="preserve">(New York: I.B. Tauris, 2007), </w:t>
      </w:r>
      <w:r w:rsidRPr="0044748D">
        <w:t>337-339</w:t>
      </w:r>
    </w:p>
  </w:footnote>
  <w:footnote w:id="59">
    <w:p w14:paraId="3296095F" w14:textId="77777777" w:rsidR="0025406B" w:rsidRDefault="0025406B">
      <w:pPr>
        <w:pStyle w:val="FootnoteText"/>
      </w:pPr>
      <w:r>
        <w:rPr>
          <w:rStyle w:val="FootnoteReference"/>
        </w:rPr>
        <w:footnoteRef/>
      </w:r>
      <w:r>
        <w:t xml:space="preserve"> Paul et al, “Iraqi Kurdistan,” 220-223</w:t>
      </w:r>
    </w:p>
  </w:footnote>
  <w:footnote w:id="60">
    <w:p w14:paraId="40F2415A" w14:textId="77777777" w:rsidR="0025406B" w:rsidRDefault="0025406B">
      <w:pPr>
        <w:pStyle w:val="FootnoteText"/>
      </w:pPr>
      <w:r>
        <w:rPr>
          <w:rStyle w:val="FootnoteReference"/>
        </w:rPr>
        <w:footnoteRef/>
      </w:r>
      <w:r>
        <w:t xml:space="preserve"> Lewis, “Historical Setting,” 60-62. See also: </w:t>
      </w:r>
      <w:r w:rsidRPr="005A3FC6">
        <w:t>Huang</w:t>
      </w:r>
      <w:r>
        <w:t>,</w:t>
      </w:r>
      <w:r w:rsidRPr="005A3FC6">
        <w:t xml:space="preserve"> </w:t>
      </w:r>
      <w:r>
        <w:t>“</w:t>
      </w:r>
      <w:r w:rsidRPr="005A3FC6">
        <w:t>Rebel Governance Dataset Coding Notes</w:t>
      </w:r>
      <w:r>
        <w:t>,” 69-70.</w:t>
      </w:r>
    </w:p>
  </w:footnote>
  <w:footnote w:id="61">
    <w:p w14:paraId="28C1EA3F" w14:textId="77777777" w:rsidR="0025406B" w:rsidRPr="005B575D" w:rsidRDefault="0025406B">
      <w:pPr>
        <w:pStyle w:val="FootnoteText"/>
      </w:pPr>
      <w:r>
        <w:rPr>
          <w:rStyle w:val="FootnoteReference"/>
        </w:rPr>
        <w:footnoteRef/>
      </w:r>
      <w:r>
        <w:t xml:space="preserve"> McDowall, </w:t>
      </w:r>
      <w:r>
        <w:rPr>
          <w:i/>
        </w:rPr>
        <w:t>Modern History of the Kurds</w:t>
      </w:r>
      <w:r>
        <w:t>, 335-337; another concern was control over Kirkuk and the rights to oil revenues.</w:t>
      </w:r>
    </w:p>
  </w:footnote>
  <w:footnote w:id="62">
    <w:p w14:paraId="3244307B" w14:textId="77777777" w:rsidR="0025406B" w:rsidRPr="00484396" w:rsidRDefault="0025406B" w:rsidP="00484396">
      <w:pPr>
        <w:pStyle w:val="FootnoteText"/>
      </w:pPr>
      <w:r>
        <w:rPr>
          <w:rStyle w:val="FootnoteReference"/>
        </w:rPr>
        <w:footnoteRef/>
      </w:r>
      <w:r>
        <w:t xml:space="preserve"> Christopher Paul, Colin P. Clarke, Beth Grill, and Molly </w:t>
      </w:r>
      <w:proofErr w:type="spellStart"/>
      <w:r>
        <w:t>Dunigan</w:t>
      </w:r>
      <w:proofErr w:type="spellEnd"/>
      <w:r>
        <w:t xml:space="preserve">, “Jordan, 1970-1971 Case Outcome: COIN Win” in </w:t>
      </w:r>
      <w:r>
        <w:rPr>
          <w:i/>
        </w:rPr>
        <w:t>Paths to Victory: Detailed Insurgency Case Studies</w:t>
      </w:r>
      <w:r>
        <w:t>. (Santa Monica, CA: RAND Corporation, 2013), 331-333</w:t>
      </w:r>
    </w:p>
  </w:footnote>
  <w:footnote w:id="63">
    <w:p w14:paraId="7D049DFF" w14:textId="77777777" w:rsidR="0025406B" w:rsidRDefault="0025406B">
      <w:pPr>
        <w:pStyle w:val="FootnoteText"/>
      </w:pPr>
      <w:r>
        <w:rPr>
          <w:rStyle w:val="FootnoteReference"/>
        </w:rPr>
        <w:footnoteRef/>
      </w:r>
      <w:r>
        <w:t xml:space="preserve"> Ibid. 215-218.</w:t>
      </w:r>
    </w:p>
  </w:footnote>
  <w:footnote w:id="64">
    <w:p w14:paraId="352E2C22" w14:textId="77777777" w:rsidR="0025406B" w:rsidRDefault="0025406B">
      <w:pPr>
        <w:pStyle w:val="FootnoteText"/>
      </w:pPr>
      <w:r>
        <w:rPr>
          <w:rStyle w:val="FootnoteReference"/>
        </w:rPr>
        <w:footnoteRef/>
      </w:r>
      <w:r>
        <w:t xml:space="preserve"> Mehmood Hussain, “</w:t>
      </w:r>
      <w:r w:rsidRPr="007F1E36">
        <w:t>The Palestine Liberation Movement and Arab Regimes: The Great Betrayal</w:t>
      </w:r>
      <w:r>
        <w:t xml:space="preserve">,” </w:t>
      </w:r>
      <w:r>
        <w:rPr>
          <w:i/>
        </w:rPr>
        <w:t>Economic and Political Weekly</w:t>
      </w:r>
      <w:r>
        <w:t xml:space="preserve"> 8, No. 45 (1973), 2025.</w:t>
      </w:r>
    </w:p>
  </w:footnote>
  <w:footnote w:id="65">
    <w:p w14:paraId="475FEECA" w14:textId="77777777" w:rsidR="0025406B" w:rsidRPr="00AB5A20" w:rsidRDefault="0025406B">
      <w:pPr>
        <w:pStyle w:val="FootnoteText"/>
      </w:pPr>
      <w:r>
        <w:rPr>
          <w:rStyle w:val="FootnoteReference"/>
        </w:rPr>
        <w:footnoteRef/>
      </w:r>
      <w:r>
        <w:t xml:space="preserve"> Henry Brandon, “Were We Masterful…” </w:t>
      </w:r>
      <w:r>
        <w:rPr>
          <w:i/>
        </w:rPr>
        <w:t>Foreign Affairs</w:t>
      </w:r>
      <w:r>
        <w:t xml:space="preserve"> No. 10 (1973), 158.</w:t>
      </w:r>
    </w:p>
  </w:footnote>
  <w:footnote w:id="66">
    <w:p w14:paraId="46589E70" w14:textId="77777777" w:rsidR="0025406B" w:rsidRPr="00B514D8" w:rsidRDefault="0025406B" w:rsidP="00B514D8">
      <w:pPr>
        <w:pStyle w:val="FootnoteText"/>
        <w:rPr>
          <w:i/>
        </w:rPr>
      </w:pPr>
      <w:r>
        <w:rPr>
          <w:rStyle w:val="FootnoteReference"/>
        </w:rPr>
        <w:footnoteRef/>
      </w:r>
      <w:r>
        <w:t xml:space="preserve"> </w:t>
      </w:r>
      <w:proofErr w:type="spellStart"/>
      <w:r>
        <w:t>Yezid</w:t>
      </w:r>
      <w:proofErr w:type="spellEnd"/>
      <w:r>
        <w:t xml:space="preserve"> </w:t>
      </w:r>
      <w:proofErr w:type="spellStart"/>
      <w:r>
        <w:t>Sayigh</w:t>
      </w:r>
      <w:proofErr w:type="spellEnd"/>
      <w:r>
        <w:t xml:space="preserve">, </w:t>
      </w:r>
      <w:r w:rsidRPr="00B514D8">
        <w:rPr>
          <w:i/>
        </w:rPr>
        <w:t>Armed Struggle and the Search for State: The Palestinian National Movement,</w:t>
      </w:r>
      <w:r>
        <w:rPr>
          <w:i/>
        </w:rPr>
        <w:t xml:space="preserve"> </w:t>
      </w:r>
      <w:r w:rsidRPr="00B514D8">
        <w:rPr>
          <w:i/>
        </w:rPr>
        <w:t>1949-1993.</w:t>
      </w:r>
      <w:r>
        <w:t xml:space="preserve"> (New York: Clarendon Press 1997), 182-183, 244.</w:t>
      </w:r>
    </w:p>
  </w:footnote>
  <w:footnote w:id="67">
    <w:p w14:paraId="50C30D79" w14:textId="77777777" w:rsidR="0025406B" w:rsidRDefault="0025406B">
      <w:pPr>
        <w:pStyle w:val="FootnoteText"/>
      </w:pPr>
      <w:r>
        <w:rPr>
          <w:rStyle w:val="FootnoteReference"/>
        </w:rPr>
        <w:footnoteRef/>
      </w:r>
      <w:r>
        <w:t xml:space="preserve"> They were also somewhat suspect given a study conducted by the Jordanian ministry of defense (see: Ibid. 244). </w:t>
      </w:r>
    </w:p>
  </w:footnote>
  <w:footnote w:id="68">
    <w:p w14:paraId="65E8AC2D" w14:textId="77777777" w:rsidR="0025406B" w:rsidRDefault="0025406B" w:rsidP="00B42648">
      <w:pPr>
        <w:pStyle w:val="FootnoteText"/>
      </w:pPr>
      <w:r>
        <w:rPr>
          <w:rStyle w:val="FootnoteReference"/>
        </w:rPr>
        <w:footnoteRef/>
      </w:r>
      <w:r>
        <w:t xml:space="preserve"> Lia, </w:t>
      </w:r>
      <w:proofErr w:type="spellStart"/>
      <w:r>
        <w:t>Brynjar</w:t>
      </w:r>
      <w:proofErr w:type="spellEnd"/>
      <w:r>
        <w:t>. A Police Force without a State: A History of the Palestinian Security Forces in the</w:t>
      </w:r>
    </w:p>
    <w:p w14:paraId="2A2236A8" w14:textId="77777777" w:rsidR="0025406B" w:rsidRDefault="0025406B" w:rsidP="00B42648">
      <w:pPr>
        <w:pStyle w:val="FootnoteText"/>
      </w:pPr>
      <w:r>
        <w:t>West Bank and Gaza. 1st ed. (Reading, UK: Ithaca Press, 2006), 33-34.</w:t>
      </w:r>
    </w:p>
  </w:footnote>
  <w:footnote w:id="69">
    <w:p w14:paraId="7D978B9E" w14:textId="77777777" w:rsidR="0025406B" w:rsidRDefault="0025406B">
      <w:pPr>
        <w:pStyle w:val="FootnoteText"/>
      </w:pPr>
      <w:r>
        <w:rPr>
          <w:rStyle w:val="FootnoteReference"/>
        </w:rPr>
        <w:footnoteRef/>
      </w:r>
      <w:r>
        <w:t xml:space="preserve"> Moshe </w:t>
      </w:r>
      <w:proofErr w:type="spellStart"/>
      <w:r>
        <w:t>Shemesh</w:t>
      </w:r>
      <w:proofErr w:type="spellEnd"/>
      <w:r>
        <w:t xml:space="preserve">, </w:t>
      </w:r>
      <w:r>
        <w:rPr>
          <w:i/>
        </w:rPr>
        <w:t>The Palestinian Entity, 1959-1974: Arab Politics and the PLO, 2</w:t>
      </w:r>
      <w:r w:rsidRPr="005C5A84">
        <w:rPr>
          <w:i/>
          <w:vertAlign w:val="superscript"/>
        </w:rPr>
        <w:t>nd</w:t>
      </w:r>
      <w:r>
        <w:rPr>
          <w:i/>
        </w:rPr>
        <w:t xml:space="preserve"> Edition</w:t>
      </w:r>
      <w:r>
        <w:t>, (London, UK: Frank Cass, 1996), 131-132.</w:t>
      </w:r>
    </w:p>
  </w:footnote>
  <w:footnote w:id="70">
    <w:p w14:paraId="39D41C44" w14:textId="77777777" w:rsidR="0025406B" w:rsidRDefault="0025406B" w:rsidP="007A5A0B">
      <w:pPr>
        <w:pStyle w:val="FootnoteText"/>
      </w:pPr>
      <w:r>
        <w:rPr>
          <w:rStyle w:val="FootnoteReference"/>
        </w:rPr>
        <w:footnoteRef/>
      </w:r>
      <w:r>
        <w:t xml:space="preserve"> </w:t>
      </w:r>
      <w:proofErr w:type="spellStart"/>
      <w:r>
        <w:t>Fruchter</w:t>
      </w:r>
      <w:proofErr w:type="spellEnd"/>
      <w:r>
        <w:t xml:space="preserve">-Ronen, Iris. "Black September: The 1970–71 Events and Their Impact on the Formation of Jordanian National Identity." </w:t>
      </w:r>
      <w:r w:rsidRPr="007A5A0B">
        <w:rPr>
          <w:i/>
        </w:rPr>
        <w:t>Civil Wars</w:t>
      </w:r>
      <w:r>
        <w:t xml:space="preserve"> 10, no. 3 (2008), 247-248, 259; </w:t>
      </w:r>
      <w:proofErr w:type="spellStart"/>
      <w:r>
        <w:t>Sayigh</w:t>
      </w:r>
      <w:proofErr w:type="spellEnd"/>
      <w:r>
        <w:t xml:space="preserve">, </w:t>
      </w:r>
      <w:r>
        <w:rPr>
          <w:i/>
        </w:rPr>
        <w:t>Armed Struggle and the Search for a State</w:t>
      </w:r>
      <w:r>
        <w:t>, 225.</w:t>
      </w:r>
    </w:p>
  </w:footnote>
  <w:footnote w:id="71">
    <w:p w14:paraId="194D3DE3" w14:textId="77777777" w:rsidR="0025406B" w:rsidRPr="0086475A" w:rsidRDefault="0025406B" w:rsidP="0086475A">
      <w:pPr>
        <w:pStyle w:val="FootnoteText"/>
      </w:pPr>
      <w:r>
        <w:rPr>
          <w:rStyle w:val="FootnoteReference"/>
        </w:rPr>
        <w:footnoteRef/>
      </w:r>
      <w:r>
        <w:t xml:space="preserve"> </w:t>
      </w:r>
      <w:proofErr w:type="spellStart"/>
      <w:r>
        <w:t>Sayigh</w:t>
      </w:r>
      <w:proofErr w:type="spellEnd"/>
      <w:r>
        <w:t xml:space="preserve">, </w:t>
      </w:r>
      <w:r>
        <w:rPr>
          <w:i/>
        </w:rPr>
        <w:t>Armed Struggle and the Search for a State</w:t>
      </w:r>
      <w:r>
        <w:t>, 195, 225.</w:t>
      </w:r>
    </w:p>
  </w:footnote>
  <w:footnote w:id="72">
    <w:p w14:paraId="434BF77E" w14:textId="77777777" w:rsidR="0025406B" w:rsidRPr="0086475A" w:rsidRDefault="0025406B" w:rsidP="0086475A">
      <w:pPr>
        <w:pStyle w:val="FootnoteText"/>
      </w:pPr>
      <w:r>
        <w:rPr>
          <w:rStyle w:val="FootnoteReference"/>
        </w:rPr>
        <w:footnoteRef/>
      </w:r>
      <w:r>
        <w:t xml:space="preserve"> Ibid, 183.</w:t>
      </w:r>
    </w:p>
  </w:footnote>
  <w:footnote w:id="73">
    <w:p w14:paraId="5462884B" w14:textId="77777777" w:rsidR="0025406B" w:rsidRDefault="0025406B" w:rsidP="00697092">
      <w:pPr>
        <w:pStyle w:val="FootnoteText"/>
      </w:pPr>
      <w:r>
        <w:rPr>
          <w:rStyle w:val="FootnoteReference"/>
        </w:rPr>
        <w:footnoteRef/>
      </w:r>
      <w:r>
        <w:t xml:space="preserve"> Bernard B. Fall, </w:t>
      </w:r>
      <w:r>
        <w:rPr>
          <w:i/>
        </w:rPr>
        <w:t>Anatomy of a Crisis: The Laotian Crisis of 1960-1961</w:t>
      </w:r>
      <w:r>
        <w:t>, (Garden City, NY: Doubleday &amp; Company, Inc, 1969), 81-101</w:t>
      </w:r>
    </w:p>
  </w:footnote>
  <w:footnote w:id="74">
    <w:p w14:paraId="6313982F" w14:textId="77777777" w:rsidR="0025406B" w:rsidRDefault="0025406B">
      <w:pPr>
        <w:pStyle w:val="FootnoteText"/>
      </w:pPr>
      <w:r>
        <w:rPr>
          <w:rStyle w:val="FootnoteReference"/>
        </w:rPr>
        <w:footnoteRef/>
      </w:r>
      <w:r>
        <w:t xml:space="preserve"> Paul F. Langer and Joseph J. Zasloff, </w:t>
      </w:r>
      <w:r>
        <w:rPr>
          <w:i/>
        </w:rPr>
        <w:t>North Vietnam and the Pathet Lao: Partners in the Struggle for Laos</w:t>
      </w:r>
      <w:r>
        <w:t>, (Cambridge, MA: Harvard University Press, 1970), 91-92</w:t>
      </w:r>
    </w:p>
  </w:footnote>
  <w:footnote w:id="75">
    <w:p w14:paraId="01C23558" w14:textId="77777777" w:rsidR="0025406B" w:rsidRDefault="0025406B">
      <w:pPr>
        <w:pStyle w:val="FootnoteText"/>
      </w:pPr>
      <w:r>
        <w:rPr>
          <w:rStyle w:val="FootnoteReference"/>
        </w:rPr>
        <w:footnoteRef/>
      </w:r>
      <w:r>
        <w:t xml:space="preserve"> Fall, </w:t>
      </w:r>
      <w:r>
        <w:rPr>
          <w:i/>
        </w:rPr>
        <w:t>Anatomy of a</w:t>
      </w:r>
      <w:r w:rsidRPr="00D77310">
        <w:rPr>
          <w:i/>
        </w:rPr>
        <w:t xml:space="preserve"> Crisis</w:t>
      </w:r>
      <w:r>
        <w:t xml:space="preserve">, </w:t>
      </w:r>
      <w:r w:rsidRPr="00D77310">
        <w:t>112</w:t>
      </w:r>
      <w:r>
        <w:t>-118</w:t>
      </w:r>
    </w:p>
  </w:footnote>
  <w:footnote w:id="76">
    <w:p w14:paraId="12852486" w14:textId="77777777" w:rsidR="0025406B" w:rsidRDefault="0025406B">
      <w:pPr>
        <w:pStyle w:val="FootnoteText"/>
      </w:pPr>
      <w:r>
        <w:rPr>
          <w:rStyle w:val="FootnoteReference"/>
        </w:rPr>
        <w:footnoteRef/>
      </w:r>
      <w:r>
        <w:t xml:space="preserve"> Joseph J. Zasloff, “Leadership and Organization of Pathet Lao,” </w:t>
      </w:r>
      <w:r>
        <w:rPr>
          <w:i/>
        </w:rPr>
        <w:t>Indochina in Conflict: A Political Assessment</w:t>
      </w:r>
      <w:r>
        <w:t>, eds. Joseph J. Zasloff and Allan E. Goodman (Lexington: Lexington Books, 1972), 119-120</w:t>
      </w:r>
    </w:p>
  </w:footnote>
  <w:footnote w:id="77">
    <w:p w14:paraId="18D6DAF6" w14:textId="77777777" w:rsidR="0025406B" w:rsidRDefault="0025406B" w:rsidP="00B7037C">
      <w:pPr>
        <w:pStyle w:val="FootnoteText"/>
      </w:pPr>
      <w:r>
        <w:rPr>
          <w:rStyle w:val="FootnoteReference"/>
        </w:rPr>
        <w:footnoteRef/>
      </w:r>
      <w:r>
        <w:t xml:space="preserve"> Joseph J. Zasloff, </w:t>
      </w:r>
      <w:r>
        <w:rPr>
          <w:i/>
        </w:rPr>
        <w:t xml:space="preserve">The Pathet Lao: Leadership and </w:t>
      </w:r>
      <w:r w:rsidRPr="006514B1">
        <w:rPr>
          <w:i/>
        </w:rPr>
        <w:t>Organization</w:t>
      </w:r>
      <w:r>
        <w:t>, (Lexington, MA: Lexington Books, 1973),</w:t>
      </w:r>
      <w:r>
        <w:rPr>
          <w:i/>
        </w:rPr>
        <w:t xml:space="preserve"> </w:t>
      </w:r>
      <w:r w:rsidRPr="006514B1">
        <w:t>50-6</w:t>
      </w:r>
      <w:r>
        <w:t>4</w:t>
      </w:r>
    </w:p>
  </w:footnote>
  <w:footnote w:id="78">
    <w:p w14:paraId="059AD547" w14:textId="77777777" w:rsidR="0025406B" w:rsidRDefault="0025406B">
      <w:pPr>
        <w:pStyle w:val="FootnoteText"/>
      </w:pPr>
      <w:r>
        <w:rPr>
          <w:rStyle w:val="FootnoteReference"/>
        </w:rPr>
        <w:footnoteRef/>
      </w:r>
      <w:r>
        <w:t xml:space="preserve"> The politicizing of extant ties aided these efforts.</w:t>
      </w:r>
    </w:p>
  </w:footnote>
  <w:footnote w:id="79">
    <w:p w14:paraId="1FF4CA54" w14:textId="77777777" w:rsidR="0025406B" w:rsidRDefault="0025406B">
      <w:pPr>
        <w:pStyle w:val="FootnoteText"/>
      </w:pPr>
      <w:r>
        <w:rPr>
          <w:rStyle w:val="FootnoteReference"/>
        </w:rPr>
        <w:footnoteRef/>
      </w:r>
      <w:r>
        <w:t xml:space="preserve"> Arthur J. </w:t>
      </w:r>
      <w:proofErr w:type="spellStart"/>
      <w:r>
        <w:t>Dommen</w:t>
      </w:r>
      <w:proofErr w:type="spellEnd"/>
      <w:r>
        <w:t xml:space="preserve">, </w:t>
      </w:r>
      <w:r>
        <w:rPr>
          <w:i/>
        </w:rPr>
        <w:t>Conflict in Laos: The Politics of Neutralization</w:t>
      </w:r>
      <w:r>
        <w:t>, (New York: Praeger Publishers, 1971), 89-91</w:t>
      </w:r>
    </w:p>
  </w:footnote>
  <w:footnote w:id="80">
    <w:p w14:paraId="0D02C193" w14:textId="77777777" w:rsidR="0025406B" w:rsidRDefault="0025406B">
      <w:pPr>
        <w:pStyle w:val="FootnoteText"/>
      </w:pPr>
      <w:r>
        <w:rPr>
          <w:rStyle w:val="FootnoteReference"/>
        </w:rPr>
        <w:footnoteRef/>
      </w:r>
      <w:r>
        <w:t xml:space="preserve"> Ibid. 91</w:t>
      </w:r>
    </w:p>
  </w:footnote>
  <w:footnote w:id="81">
    <w:p w14:paraId="3DC8DBB3" w14:textId="77777777" w:rsidR="0025406B" w:rsidRDefault="0025406B">
      <w:pPr>
        <w:pStyle w:val="FootnoteText"/>
      </w:pPr>
      <w:r>
        <w:rPr>
          <w:rStyle w:val="FootnoteReference"/>
        </w:rPr>
        <w:footnoteRef/>
      </w:r>
      <w:r>
        <w:t xml:space="preserve"> Ibid. 88-90</w:t>
      </w:r>
    </w:p>
  </w:footnote>
  <w:footnote w:id="82">
    <w:p w14:paraId="5DA13DD0" w14:textId="77777777" w:rsidR="0025406B" w:rsidRDefault="0025406B">
      <w:pPr>
        <w:pStyle w:val="FootnoteText"/>
      </w:pPr>
      <w:r>
        <w:rPr>
          <w:rStyle w:val="FootnoteReference"/>
        </w:rPr>
        <w:footnoteRef/>
      </w:r>
      <w:r>
        <w:t xml:space="preserve"> Zasloff, </w:t>
      </w:r>
      <w:r>
        <w:rPr>
          <w:i/>
        </w:rPr>
        <w:t>Pathet Lao</w:t>
      </w:r>
      <w:r>
        <w:t>, 64-66</w:t>
      </w:r>
    </w:p>
  </w:footnote>
  <w:footnote w:id="83">
    <w:p w14:paraId="0DCD41F6" w14:textId="77777777" w:rsidR="0025406B" w:rsidRPr="00425B30" w:rsidRDefault="0025406B">
      <w:pPr>
        <w:pStyle w:val="FootnoteText"/>
      </w:pPr>
      <w:r>
        <w:rPr>
          <w:rStyle w:val="FootnoteReference"/>
        </w:rPr>
        <w:footnoteRef/>
      </w:r>
      <w:r>
        <w:t xml:space="preserve"> Fred Branfman, “Presidential War in Laos, 1964-1970,” eds. Nina S. Adams and Alfred W. McCoy, </w:t>
      </w:r>
      <w:r>
        <w:rPr>
          <w:i/>
        </w:rPr>
        <w:t>Laos: War and Revolution</w:t>
      </w:r>
      <w:r>
        <w:t>, (New York: Harper &amp; Row, 1970), 227-228.</w:t>
      </w:r>
    </w:p>
  </w:footnote>
  <w:footnote w:id="84">
    <w:p w14:paraId="16683557" w14:textId="77777777" w:rsidR="0025406B" w:rsidRDefault="0025406B">
      <w:pPr>
        <w:pStyle w:val="FootnoteText"/>
      </w:pPr>
      <w:r>
        <w:rPr>
          <w:rStyle w:val="FootnoteReference"/>
        </w:rPr>
        <w:footnoteRef/>
      </w:r>
      <w:r>
        <w:t xml:space="preserve"> Jacques </w:t>
      </w:r>
      <w:proofErr w:type="spellStart"/>
      <w:r>
        <w:t>Decornoy</w:t>
      </w:r>
      <w:proofErr w:type="spellEnd"/>
      <w:r>
        <w:t xml:space="preserve">, “Life in the Pathet Lao Liberated Zone,” eds. Nina S. Adams and Alfred W. McCoy, </w:t>
      </w:r>
      <w:r>
        <w:rPr>
          <w:i/>
        </w:rPr>
        <w:t>Laos: War and Revolution</w:t>
      </w:r>
      <w:r>
        <w:t>, (New York: Harper &amp; Row, 1970), 420-421</w:t>
      </w:r>
    </w:p>
  </w:footnote>
  <w:footnote w:id="85">
    <w:p w14:paraId="36D2FC35" w14:textId="77777777" w:rsidR="0025406B" w:rsidRDefault="0025406B">
      <w:pPr>
        <w:pStyle w:val="FootnoteText"/>
      </w:pPr>
      <w:r>
        <w:rPr>
          <w:rStyle w:val="FootnoteReference"/>
        </w:rPr>
        <w:footnoteRef/>
      </w:r>
      <w:r>
        <w:t xml:space="preserve"> “The Pathet Lao’s Revolutionary Program: Noam Chomsky Interviews </w:t>
      </w:r>
      <w:proofErr w:type="spellStart"/>
      <w:r>
        <w:t>Phao</w:t>
      </w:r>
      <w:proofErr w:type="spellEnd"/>
      <w:r>
        <w:t xml:space="preserve"> </w:t>
      </w:r>
      <w:proofErr w:type="spellStart"/>
      <w:r>
        <w:t>Phimphachanh</w:t>
      </w:r>
      <w:proofErr w:type="spellEnd"/>
      <w:r>
        <w:t xml:space="preserve">,” eds. Nina S. Adams and Alfred W. McCoy, </w:t>
      </w:r>
      <w:r>
        <w:rPr>
          <w:i/>
        </w:rPr>
        <w:t>Laos: War and Revolution</w:t>
      </w:r>
      <w:r>
        <w:t>, (New York: Harper &amp; Row, 1970), 448.</w:t>
      </w:r>
    </w:p>
  </w:footnote>
  <w:footnote w:id="86">
    <w:p w14:paraId="57226088" w14:textId="77777777" w:rsidR="0025406B" w:rsidRDefault="0025406B">
      <w:pPr>
        <w:pStyle w:val="FootnoteText"/>
      </w:pPr>
      <w:r>
        <w:rPr>
          <w:rStyle w:val="FootnoteReference"/>
        </w:rPr>
        <w:footnoteRef/>
      </w:r>
      <w:r>
        <w:t xml:space="preserve"> Zasloff, </w:t>
      </w:r>
      <w:r>
        <w:rPr>
          <w:i/>
        </w:rPr>
        <w:t>Pathet Lao</w:t>
      </w:r>
      <w:r>
        <w:t>, 78-86</w:t>
      </w:r>
    </w:p>
  </w:footnote>
  <w:footnote w:id="87">
    <w:p w14:paraId="5CDE3518" w14:textId="77777777" w:rsidR="0025406B" w:rsidRDefault="0025406B" w:rsidP="0063196A">
      <w:pPr>
        <w:pStyle w:val="FootnoteText"/>
      </w:pPr>
      <w:r>
        <w:rPr>
          <w:rStyle w:val="FootnoteReference"/>
        </w:rPr>
        <w:footnoteRef/>
      </w:r>
      <w:r>
        <w:t xml:space="preserve"> Ibid. 86</w:t>
      </w:r>
    </w:p>
  </w:footnote>
  <w:footnote w:id="88">
    <w:p w14:paraId="53A7C4F1" w14:textId="77777777" w:rsidR="0025406B" w:rsidRDefault="0025406B">
      <w:pPr>
        <w:pStyle w:val="FootnoteText"/>
      </w:pPr>
      <w:r>
        <w:rPr>
          <w:rStyle w:val="FootnoteReference"/>
        </w:rPr>
        <w:footnoteRef/>
      </w:r>
      <w:r>
        <w:t xml:space="preserve"> Martin Stuart-Fox, “</w:t>
      </w:r>
      <w:r w:rsidRPr="00FF4CF4">
        <w:t>Marxism and Theravada Buddhism: The Legitimation of Political Authority in Laos</w:t>
      </w:r>
      <w:r>
        <w:t xml:space="preserve">,” </w:t>
      </w:r>
      <w:r>
        <w:rPr>
          <w:i/>
        </w:rPr>
        <w:t>Pacific Affairs</w:t>
      </w:r>
      <w:r>
        <w:t xml:space="preserve"> 56, No. 3 (1983), 444-447</w:t>
      </w:r>
    </w:p>
  </w:footnote>
  <w:footnote w:id="89">
    <w:p w14:paraId="663B289E" w14:textId="77777777" w:rsidR="0025406B" w:rsidRPr="00180A47" w:rsidRDefault="0025406B">
      <w:pPr>
        <w:pStyle w:val="FootnoteText"/>
      </w:pPr>
      <w:r>
        <w:rPr>
          <w:rStyle w:val="FootnoteReference"/>
        </w:rPr>
        <w:footnoteRef/>
      </w:r>
      <w:r>
        <w:t xml:space="preserve"> Martin Stuart-Fox, “Reflections on the Lao Revolution,” </w:t>
      </w:r>
      <w:r>
        <w:rPr>
          <w:i/>
        </w:rPr>
        <w:t>Contemporary Southeast Asia</w:t>
      </w:r>
      <w:r>
        <w:t xml:space="preserve"> 3, No. 1 (1981), 42-44.</w:t>
      </w:r>
    </w:p>
  </w:footnote>
  <w:footnote w:id="90">
    <w:p w14:paraId="069211CA" w14:textId="77777777" w:rsidR="0025406B" w:rsidRDefault="0025406B">
      <w:pPr>
        <w:pStyle w:val="FootnoteText"/>
      </w:pPr>
      <w:r>
        <w:rPr>
          <w:rStyle w:val="FootnoteReference"/>
        </w:rPr>
        <w:footnoteRef/>
      </w:r>
      <w:r>
        <w:t xml:space="preserve"> Stuart-Fox, “</w:t>
      </w:r>
      <w:r w:rsidRPr="00FF4CF4">
        <w:t>Marxism and Theravada Buddhism</w:t>
      </w:r>
      <w:r>
        <w:t>,” 443-446.</w:t>
      </w:r>
    </w:p>
  </w:footnote>
  <w:footnote w:id="91">
    <w:p w14:paraId="2CC12470" w14:textId="77777777" w:rsidR="0025406B" w:rsidRDefault="0025406B">
      <w:pPr>
        <w:pStyle w:val="FootnoteText"/>
      </w:pPr>
      <w:r>
        <w:rPr>
          <w:rStyle w:val="FootnoteReference"/>
        </w:rPr>
        <w:footnoteRef/>
      </w:r>
      <w:r>
        <w:t xml:space="preserve"> Stuart-Fox, “Reflections on the Lao Revolution,” 43-44</w:t>
      </w:r>
    </w:p>
  </w:footnote>
  <w:footnote w:id="92">
    <w:p w14:paraId="089F9D0E" w14:textId="77777777" w:rsidR="0025406B" w:rsidRDefault="0025406B" w:rsidP="00485E6B">
      <w:pPr>
        <w:pStyle w:val="FootnoteText"/>
      </w:pPr>
      <w:r>
        <w:rPr>
          <w:rStyle w:val="FootnoteReference"/>
        </w:rPr>
        <w:footnoteRef/>
      </w:r>
      <w:r>
        <w:t xml:space="preserve"> </w:t>
      </w:r>
      <w:proofErr w:type="spellStart"/>
      <w:r>
        <w:t>MacAlister</w:t>
      </w:r>
      <w:proofErr w:type="spellEnd"/>
      <w:r>
        <w:t xml:space="preserve"> Brown and Joseph J. Zasloff, “Laos 1974: Coalition Government Shoots the Rapids,” </w:t>
      </w:r>
      <w:r>
        <w:rPr>
          <w:i/>
        </w:rPr>
        <w:t xml:space="preserve">Asian Survey </w:t>
      </w:r>
      <w:r>
        <w:t>15, No. 2 (1975), 175.</w:t>
      </w:r>
    </w:p>
  </w:footnote>
  <w:footnote w:id="93">
    <w:p w14:paraId="6E58D6AF" w14:textId="77777777" w:rsidR="0025406B" w:rsidRDefault="0025406B">
      <w:pPr>
        <w:pStyle w:val="FootnoteText"/>
      </w:pPr>
      <w:r>
        <w:rPr>
          <w:rStyle w:val="FootnoteReference"/>
        </w:rPr>
        <w:footnoteRef/>
      </w:r>
      <w:r>
        <w:t xml:space="preserve"> </w:t>
      </w:r>
      <w:proofErr w:type="spellStart"/>
      <w:r w:rsidRPr="00E044C4">
        <w:t>MacAlister</w:t>
      </w:r>
      <w:proofErr w:type="spellEnd"/>
      <w:r w:rsidRPr="00E044C4">
        <w:t xml:space="preserve"> Brown and Joseph J. Zasloff</w:t>
      </w:r>
      <w:r>
        <w:t>, “</w:t>
      </w:r>
      <w:r w:rsidRPr="00E044C4">
        <w:t>Laos in 1975: People's Democratic Revolution -- Lao Style</w:t>
      </w:r>
      <w:r>
        <w:t xml:space="preserve">,” </w:t>
      </w:r>
      <w:r>
        <w:rPr>
          <w:i/>
        </w:rPr>
        <w:t>Asian Survey</w:t>
      </w:r>
      <w:r>
        <w:t xml:space="preserve"> 16, No. 2 (1976), 195-196.</w:t>
      </w:r>
    </w:p>
  </w:footnote>
  <w:footnote w:id="94">
    <w:p w14:paraId="6130E50B" w14:textId="77777777" w:rsidR="0025406B" w:rsidRPr="00C46CC0" w:rsidRDefault="0025406B">
      <w:pPr>
        <w:pStyle w:val="FootnoteText"/>
      </w:pPr>
      <w:r>
        <w:rPr>
          <w:rStyle w:val="FootnoteReference"/>
        </w:rPr>
        <w:footnoteRef/>
      </w:r>
      <w:r>
        <w:t xml:space="preserve"> David Nolan, </w:t>
      </w:r>
      <w:r>
        <w:rPr>
          <w:i/>
        </w:rPr>
        <w:t>Th</w:t>
      </w:r>
      <w:r w:rsidRPr="00C46CC0">
        <w:rPr>
          <w:i/>
        </w:rPr>
        <w:t>e I</w:t>
      </w:r>
      <w:r>
        <w:rPr>
          <w:i/>
        </w:rPr>
        <w:t>deology of the Sandinistas and the Nicaraguan Revolution</w:t>
      </w:r>
      <w:r>
        <w:t>, (Coral Gables, FL: Institute of Interamerican Studies, University of Miami, 1984), 32-86.</w:t>
      </w:r>
    </w:p>
  </w:footnote>
  <w:footnote w:id="95">
    <w:p w14:paraId="2BCFBF5F" w14:textId="77777777" w:rsidR="0025406B" w:rsidRDefault="0025406B">
      <w:pPr>
        <w:pStyle w:val="FootnoteText"/>
      </w:pPr>
      <w:r>
        <w:rPr>
          <w:rStyle w:val="FootnoteReference"/>
        </w:rPr>
        <w:footnoteRef/>
      </w:r>
      <w:r>
        <w:t xml:space="preserve"> Ibid. 86-93.</w:t>
      </w:r>
    </w:p>
  </w:footnote>
  <w:footnote w:id="96">
    <w:p w14:paraId="5BED7A53" w14:textId="77777777" w:rsidR="0025406B" w:rsidRDefault="0025406B">
      <w:pPr>
        <w:pStyle w:val="FootnoteText"/>
      </w:pPr>
      <w:r>
        <w:rPr>
          <w:rStyle w:val="FootnoteReference"/>
        </w:rPr>
        <w:footnoteRef/>
      </w:r>
      <w:r>
        <w:t xml:space="preserve"> “Pronunciamiento del F.S.L.N. </w:t>
      </w:r>
      <w:proofErr w:type="spellStart"/>
      <w:r>
        <w:t>Sobre</w:t>
      </w:r>
      <w:proofErr w:type="spellEnd"/>
      <w:r>
        <w:t xml:space="preserve"> las </w:t>
      </w:r>
      <w:proofErr w:type="spellStart"/>
      <w:r>
        <w:t>Elecciones</w:t>
      </w:r>
      <w:proofErr w:type="spellEnd"/>
      <w:r>
        <w:t xml:space="preserve">” (1980), </w:t>
      </w:r>
      <w:r>
        <w:rPr>
          <w:i/>
        </w:rPr>
        <w:t xml:space="preserve">Sandinistas: Key Documents / </w:t>
      </w:r>
      <w:proofErr w:type="spellStart"/>
      <w:r>
        <w:rPr>
          <w:i/>
        </w:rPr>
        <w:t>Documentos</w:t>
      </w:r>
      <w:proofErr w:type="spellEnd"/>
      <w:r>
        <w:rPr>
          <w:i/>
        </w:rPr>
        <w:t xml:space="preserve"> Claves</w:t>
      </w:r>
      <w:r>
        <w:t>, eds. Dennis Gilbert &amp; David Block, (Ithaca: Cornell University Press, 1990), 237</w:t>
      </w:r>
    </w:p>
  </w:footnote>
  <w:footnote w:id="97">
    <w:p w14:paraId="407AA1B0" w14:textId="77777777" w:rsidR="0025406B" w:rsidRDefault="0025406B">
      <w:pPr>
        <w:pStyle w:val="FootnoteText"/>
      </w:pPr>
      <w:r>
        <w:rPr>
          <w:rStyle w:val="FootnoteReference"/>
        </w:rPr>
        <w:footnoteRef/>
      </w:r>
      <w:r>
        <w:t xml:space="preserve"> “</w:t>
      </w:r>
      <w:proofErr w:type="spellStart"/>
      <w:r>
        <w:t>Sandinismo</w:t>
      </w:r>
      <w:proofErr w:type="spellEnd"/>
      <w:r>
        <w:t xml:space="preserve"> no es ‘</w:t>
      </w:r>
      <w:proofErr w:type="spellStart"/>
      <w:r>
        <w:t>democratismo</w:t>
      </w:r>
      <w:proofErr w:type="spellEnd"/>
      <w:r>
        <w:t>’” (1980),</w:t>
      </w:r>
      <w:r w:rsidRPr="008F6CA4">
        <w:rPr>
          <w:i/>
        </w:rPr>
        <w:t xml:space="preserve"> </w:t>
      </w:r>
      <w:r>
        <w:rPr>
          <w:i/>
        </w:rPr>
        <w:t xml:space="preserve">Sandinistas: Key Documents / </w:t>
      </w:r>
      <w:proofErr w:type="spellStart"/>
      <w:r>
        <w:rPr>
          <w:i/>
        </w:rPr>
        <w:t>Documentos</w:t>
      </w:r>
      <w:proofErr w:type="spellEnd"/>
      <w:r>
        <w:rPr>
          <w:i/>
        </w:rPr>
        <w:t xml:space="preserve"> Claves</w:t>
      </w:r>
      <w:r>
        <w:t>, eds. Dennis Gilbert &amp; David Block, (Ithaca: Cornell University Press, 1990), 111-115</w:t>
      </w:r>
    </w:p>
  </w:footnote>
  <w:footnote w:id="98">
    <w:p w14:paraId="3B99A71E" w14:textId="77777777" w:rsidR="0025406B" w:rsidRDefault="0025406B">
      <w:pPr>
        <w:pStyle w:val="FootnoteText"/>
      </w:pPr>
      <w:r>
        <w:rPr>
          <w:rStyle w:val="FootnoteReference"/>
        </w:rPr>
        <w:footnoteRef/>
      </w:r>
      <w:r>
        <w:t xml:space="preserve"> </w:t>
      </w:r>
      <w:r w:rsidRPr="00F212FF">
        <w:t xml:space="preserve">René De La </w:t>
      </w:r>
      <w:proofErr w:type="spellStart"/>
      <w:r w:rsidRPr="00F212FF">
        <w:t>Pedraja</w:t>
      </w:r>
      <w:proofErr w:type="spellEnd"/>
      <w:r>
        <w:t xml:space="preserve">, </w:t>
      </w:r>
      <w:r>
        <w:rPr>
          <w:i/>
        </w:rPr>
        <w:t>Wars of Latin America, 1948-1982: The Rise of the Guerillas</w:t>
      </w:r>
      <w:r>
        <w:t>, (Jefferson, NC: MacFarland &amp; Company, Incorporated, 2013), 255</w:t>
      </w:r>
    </w:p>
  </w:footnote>
  <w:footnote w:id="99">
    <w:p w14:paraId="10ACFCFF" w14:textId="77777777" w:rsidR="0025406B" w:rsidRPr="001C0045" w:rsidRDefault="0025406B" w:rsidP="00A77655">
      <w:pPr>
        <w:pStyle w:val="FootnoteText"/>
      </w:pPr>
      <w:r>
        <w:rPr>
          <w:rStyle w:val="FootnoteReference"/>
        </w:rPr>
        <w:footnoteRef/>
      </w:r>
      <w:r>
        <w:t xml:space="preserve"> John M. Donahue, </w:t>
      </w:r>
      <w:r>
        <w:rPr>
          <w:i/>
        </w:rPr>
        <w:t>The Nicaraguan Revolution in Health: From Somoza to the Sandinistas</w:t>
      </w:r>
      <w:r>
        <w:t>, (South Hedley, MA: Bergin &amp; Garvey Publishers, 1986), 25-27.</w:t>
      </w:r>
    </w:p>
  </w:footnote>
  <w:footnote w:id="100">
    <w:p w14:paraId="577286F8" w14:textId="77777777" w:rsidR="0025406B" w:rsidRDefault="0025406B">
      <w:pPr>
        <w:pStyle w:val="FootnoteText"/>
      </w:pPr>
      <w:r>
        <w:rPr>
          <w:rStyle w:val="FootnoteReference"/>
        </w:rPr>
        <w:footnoteRef/>
      </w:r>
      <w:r>
        <w:t xml:space="preserve"> Barry D. Adam, “Neighborhood Democracy in Nicaragua,” </w:t>
      </w:r>
      <w:r>
        <w:rPr>
          <w:i/>
        </w:rPr>
        <w:t>Dialectical Anthropology</w:t>
      </w:r>
      <w:r>
        <w:t xml:space="preserve"> 13, No. 1 (1988), 7.</w:t>
      </w:r>
    </w:p>
  </w:footnote>
  <w:footnote w:id="101">
    <w:p w14:paraId="5FB0CB1B" w14:textId="77777777" w:rsidR="0025406B" w:rsidRDefault="0025406B">
      <w:pPr>
        <w:pStyle w:val="FootnoteText"/>
      </w:pPr>
      <w:r>
        <w:rPr>
          <w:rStyle w:val="FootnoteReference"/>
        </w:rPr>
        <w:footnoteRef/>
      </w:r>
      <w:r>
        <w:t xml:space="preserve"> John A. Booth, </w:t>
      </w:r>
      <w:r>
        <w:rPr>
          <w:i/>
        </w:rPr>
        <w:t xml:space="preserve">The End and the </w:t>
      </w:r>
      <w:r w:rsidRPr="00664693">
        <w:rPr>
          <w:i/>
        </w:rPr>
        <w:t>Beginning</w:t>
      </w:r>
      <w:r>
        <w:rPr>
          <w:i/>
        </w:rPr>
        <w:t xml:space="preserve">: The Nicaraguan </w:t>
      </w:r>
      <w:r w:rsidRPr="00664693">
        <w:rPr>
          <w:i/>
        </w:rPr>
        <w:t>Revolution</w:t>
      </w:r>
      <w:r>
        <w:rPr>
          <w:i/>
        </w:rPr>
        <w:t>, 2</w:t>
      </w:r>
      <w:r w:rsidRPr="00664693">
        <w:rPr>
          <w:i/>
          <w:vertAlign w:val="superscript"/>
        </w:rPr>
        <w:t>nd</w:t>
      </w:r>
      <w:r>
        <w:rPr>
          <w:i/>
        </w:rPr>
        <w:t xml:space="preserve"> Ed.</w:t>
      </w:r>
      <w:r>
        <w:t xml:space="preserve">, (Boulder, CO: Westview Press, 1985), </w:t>
      </w:r>
      <w:r w:rsidRPr="00664693">
        <w:t>226</w:t>
      </w:r>
      <w:r>
        <w:t>.</w:t>
      </w:r>
    </w:p>
  </w:footnote>
  <w:footnote w:id="102">
    <w:p w14:paraId="1C6CC40C" w14:textId="77777777" w:rsidR="0025406B" w:rsidRDefault="0025406B">
      <w:pPr>
        <w:pStyle w:val="FootnoteText"/>
      </w:pPr>
      <w:r>
        <w:rPr>
          <w:rStyle w:val="FootnoteReference"/>
        </w:rPr>
        <w:footnoteRef/>
      </w:r>
      <w:r>
        <w:t xml:space="preserve"> Harry E. Vanden and Gary Prevost, </w:t>
      </w:r>
      <w:r>
        <w:rPr>
          <w:i/>
        </w:rPr>
        <w:t>Democracy and Socialism in Sandinista Nicaragua</w:t>
      </w:r>
      <w:r>
        <w:t xml:space="preserve">, (Boulder, CO: Lynne </w:t>
      </w:r>
      <w:proofErr w:type="spellStart"/>
      <w:r>
        <w:t>Rienner</w:t>
      </w:r>
      <w:proofErr w:type="spellEnd"/>
      <w:r>
        <w:t>, 1993), 52-53.</w:t>
      </w:r>
    </w:p>
  </w:footnote>
  <w:footnote w:id="103">
    <w:p w14:paraId="13A9AFCB" w14:textId="77777777" w:rsidR="0025406B" w:rsidRDefault="0025406B">
      <w:pPr>
        <w:pStyle w:val="FootnoteText"/>
      </w:pPr>
      <w:r>
        <w:rPr>
          <w:rStyle w:val="FootnoteReference"/>
        </w:rPr>
        <w:footnoteRef/>
      </w:r>
      <w:r>
        <w:t xml:space="preserve"> Kelly Bay-Meyer, “</w:t>
      </w:r>
      <w:r w:rsidRPr="00584BA7">
        <w:t xml:space="preserve">Do Ortega's Citizen Power Councils Empower the Poor in Nicaragua? Benefits and Costs </w:t>
      </w:r>
      <w:r>
        <w:t>of Local</w:t>
      </w:r>
      <w:r w:rsidRPr="00584BA7">
        <w:t xml:space="preserve"> Democracy</w:t>
      </w:r>
      <w:r>
        <w:t xml:space="preserve">,” </w:t>
      </w:r>
      <w:r>
        <w:rPr>
          <w:i/>
        </w:rPr>
        <w:t>Polity</w:t>
      </w:r>
      <w:r>
        <w:t xml:space="preserve"> 45, No. 3 (2013), 399-400</w:t>
      </w:r>
    </w:p>
  </w:footnote>
  <w:footnote w:id="104">
    <w:p w14:paraId="6FC9B165" w14:textId="77777777" w:rsidR="0025406B" w:rsidRDefault="0025406B">
      <w:pPr>
        <w:pStyle w:val="FootnoteText"/>
      </w:pPr>
      <w:r>
        <w:rPr>
          <w:rStyle w:val="FootnoteReference"/>
        </w:rPr>
        <w:footnoteRef/>
      </w:r>
      <w:r>
        <w:t xml:space="preserve"> Leslie E. Anderson and Lawrence C. Dodd, </w:t>
      </w:r>
      <w:r>
        <w:rPr>
          <w:i/>
        </w:rPr>
        <w:t>Learning Democracy: Citizen Engagement and Electoral Choice in Nicaragua, 1990</w:t>
      </w:r>
      <w:r w:rsidRPr="00573FEC">
        <w:rPr>
          <w:i/>
        </w:rPr>
        <w:t>-2001</w:t>
      </w:r>
      <w:r>
        <w:t xml:space="preserve">, (Chicago: The University of Chicago Press, 2005), </w:t>
      </w:r>
      <w:r w:rsidRPr="00573FEC">
        <w:t>55</w:t>
      </w:r>
      <w:r>
        <w:t>-58.</w:t>
      </w:r>
    </w:p>
  </w:footnote>
  <w:footnote w:id="105">
    <w:p w14:paraId="27A767CE" w14:textId="77777777" w:rsidR="0025406B" w:rsidRPr="00B158A9" w:rsidRDefault="0025406B">
      <w:pPr>
        <w:pStyle w:val="FootnoteText"/>
      </w:pPr>
      <w:r>
        <w:rPr>
          <w:rStyle w:val="FootnoteReference"/>
        </w:rPr>
        <w:footnoteRef/>
      </w:r>
      <w:r>
        <w:t xml:space="preserve"> For example: Sarah Zuckerman Daly, </w:t>
      </w:r>
      <w:r>
        <w:rPr>
          <w:i/>
        </w:rPr>
        <w:t>Organized Violence After Civil War: The Geography of Recruitment in Latin America</w:t>
      </w:r>
      <w:r>
        <w:t>, (New York: Cambridge University Press, 2016).</w:t>
      </w:r>
    </w:p>
  </w:footnote>
  <w:footnote w:id="106">
    <w:p w14:paraId="5C4603E7" w14:textId="77777777" w:rsidR="0025406B" w:rsidRDefault="0025406B">
      <w:pPr>
        <w:pStyle w:val="FootnoteText"/>
      </w:pPr>
      <w:r>
        <w:rPr>
          <w:rStyle w:val="FootnoteReference"/>
        </w:rPr>
        <w:footnoteRef/>
      </w:r>
      <w:r>
        <w:t xml:space="preserve"> Linda M. </w:t>
      </w:r>
      <w:proofErr w:type="spellStart"/>
      <w:r>
        <w:t>Lobao</w:t>
      </w:r>
      <w:proofErr w:type="spellEnd"/>
      <w:r>
        <w:t xml:space="preserve">, “Women in Revolutionary Movements: Changing Patterns of Latin American Guerilla Struggle,” </w:t>
      </w:r>
      <w:r>
        <w:rPr>
          <w:i/>
        </w:rPr>
        <w:t>Dialectical Anthropology</w:t>
      </w:r>
      <w:r>
        <w:t xml:space="preserve"> 15, No. 2/3 (1990), 222.</w:t>
      </w:r>
    </w:p>
  </w:footnote>
  <w:footnote w:id="107">
    <w:p w14:paraId="0510AC5C" w14:textId="77777777" w:rsidR="0025406B" w:rsidRDefault="0025406B">
      <w:pPr>
        <w:pStyle w:val="FootnoteText"/>
      </w:pPr>
      <w:r>
        <w:rPr>
          <w:rStyle w:val="FootnoteReference"/>
        </w:rPr>
        <w:footnoteRef/>
      </w:r>
      <w:r>
        <w:t xml:space="preserve"> </w:t>
      </w:r>
      <w:proofErr w:type="spellStart"/>
      <w:r>
        <w:t>Ilja</w:t>
      </w:r>
      <w:proofErr w:type="spellEnd"/>
      <w:r>
        <w:t xml:space="preserve"> A. </w:t>
      </w:r>
      <w:proofErr w:type="spellStart"/>
      <w:r>
        <w:t>Luciak</w:t>
      </w:r>
      <w:proofErr w:type="spellEnd"/>
      <w:r>
        <w:t xml:space="preserve">, “Democracy in the Nicaraguan Countryside: A Comparative Analysis of Sandinista Grassroots Movements,” </w:t>
      </w:r>
      <w:r>
        <w:rPr>
          <w:i/>
        </w:rPr>
        <w:t xml:space="preserve">Latin American </w:t>
      </w:r>
      <w:r w:rsidRPr="00294AC8">
        <w:rPr>
          <w:i/>
        </w:rPr>
        <w:t>Perspectives</w:t>
      </w:r>
      <w:r>
        <w:rPr>
          <w:i/>
        </w:rPr>
        <w:t xml:space="preserve"> </w:t>
      </w:r>
      <w:r>
        <w:t xml:space="preserve">17, No. 3 (1990), </w:t>
      </w:r>
      <w:r w:rsidRPr="00105F00">
        <w:t>65</w:t>
      </w:r>
      <w:r>
        <w:t>.</w:t>
      </w:r>
    </w:p>
  </w:footnote>
  <w:footnote w:id="108">
    <w:p w14:paraId="6BB0E710" w14:textId="77777777" w:rsidR="0025406B" w:rsidRDefault="0025406B">
      <w:pPr>
        <w:pStyle w:val="FootnoteText"/>
      </w:pPr>
      <w:r>
        <w:rPr>
          <w:rStyle w:val="FootnoteReference"/>
        </w:rPr>
        <w:footnoteRef/>
      </w:r>
      <w:r>
        <w:t xml:space="preserve"> Linda L. </w:t>
      </w:r>
      <w:proofErr w:type="spellStart"/>
      <w:r>
        <w:t>Reif</w:t>
      </w:r>
      <w:proofErr w:type="spellEnd"/>
      <w:r>
        <w:t xml:space="preserve">, “Women in Latin American Guerilla Movements: A Comparative Perspective,” </w:t>
      </w:r>
      <w:r>
        <w:rPr>
          <w:i/>
        </w:rPr>
        <w:t>Comparative Politics</w:t>
      </w:r>
      <w:r>
        <w:t xml:space="preserve"> 18, No. 2 (1986), 158-159.</w:t>
      </w:r>
    </w:p>
  </w:footnote>
  <w:footnote w:id="109">
    <w:p w14:paraId="7C9D4001" w14:textId="77777777" w:rsidR="0025406B" w:rsidRDefault="0025406B">
      <w:pPr>
        <w:pStyle w:val="FootnoteText"/>
      </w:pPr>
      <w:r>
        <w:rPr>
          <w:rStyle w:val="FootnoteReference"/>
        </w:rPr>
        <w:footnoteRef/>
      </w:r>
      <w:r>
        <w:t xml:space="preserve"> </w:t>
      </w:r>
      <w:proofErr w:type="spellStart"/>
      <w:r>
        <w:t>Luciak</w:t>
      </w:r>
      <w:proofErr w:type="spellEnd"/>
      <w:r>
        <w:t>, “Democracy in the Nicaraguan Countryside,” 57, 63-64.</w:t>
      </w:r>
    </w:p>
  </w:footnote>
  <w:footnote w:id="110">
    <w:p w14:paraId="37AD557C" w14:textId="77777777" w:rsidR="0025406B" w:rsidRDefault="0025406B">
      <w:pPr>
        <w:pStyle w:val="FootnoteText"/>
      </w:pPr>
      <w:r>
        <w:rPr>
          <w:rStyle w:val="FootnoteReference"/>
        </w:rPr>
        <w:footnoteRef/>
      </w:r>
      <w:r>
        <w:t xml:space="preserve"> Douglas Anthony, “‘Ours is a war of survival’: Biafra, Nigeria and arguments about genocide, 1966-1970,” </w:t>
      </w:r>
      <w:r>
        <w:rPr>
          <w:i/>
        </w:rPr>
        <w:t>Journal of Genocide Research</w:t>
      </w:r>
      <w:r>
        <w:t xml:space="preserve"> 16, 2-3 (2014), 205-225; indeed, the blockade appears to have been conducted in part to cause starvation (see: 215-217).</w:t>
      </w:r>
    </w:p>
  </w:footnote>
  <w:footnote w:id="111">
    <w:p w14:paraId="0FB537EA" w14:textId="77777777" w:rsidR="0025406B" w:rsidRDefault="0025406B">
      <w:pPr>
        <w:pStyle w:val="FootnoteText"/>
      </w:pPr>
      <w:r>
        <w:rPr>
          <w:rStyle w:val="FootnoteReference"/>
        </w:rPr>
        <w:footnoteRef/>
      </w:r>
      <w:r>
        <w:t xml:space="preserve"> Michael Gould, </w:t>
      </w:r>
      <w:r>
        <w:rPr>
          <w:i/>
        </w:rPr>
        <w:t>The Struggle for Modern Nigeria: The Biafran War 1967-1970</w:t>
      </w:r>
      <w:r>
        <w:t>, (New York: I.B. Tauris, 2012), 57-59</w:t>
      </w:r>
    </w:p>
  </w:footnote>
  <w:footnote w:id="112">
    <w:p w14:paraId="362EB286" w14:textId="77777777" w:rsidR="0025406B" w:rsidRDefault="0025406B">
      <w:pPr>
        <w:pStyle w:val="FootnoteText"/>
      </w:pPr>
      <w:r>
        <w:rPr>
          <w:rStyle w:val="FootnoteReference"/>
        </w:rPr>
        <w:footnoteRef/>
      </w:r>
      <w:r>
        <w:t xml:space="preserve"> Axel </w:t>
      </w:r>
      <w:proofErr w:type="spellStart"/>
      <w:r>
        <w:t>Harneit</w:t>
      </w:r>
      <w:proofErr w:type="spellEnd"/>
      <w:r>
        <w:t xml:space="preserve">-Sievers, “The People, the Soldiers, and the State,” </w:t>
      </w:r>
      <w:r>
        <w:rPr>
          <w:i/>
        </w:rPr>
        <w:t>A Social History of the Nigerian Civil War: Perspectives from Below</w:t>
      </w:r>
      <w:r>
        <w:t xml:space="preserve">, eds. Axel </w:t>
      </w:r>
      <w:proofErr w:type="spellStart"/>
      <w:r>
        <w:t>Harneit</w:t>
      </w:r>
      <w:proofErr w:type="spellEnd"/>
      <w:r>
        <w:t xml:space="preserve"> Sievers, Jones O. </w:t>
      </w:r>
      <w:proofErr w:type="spellStart"/>
      <w:r>
        <w:t>Ahazuem</w:t>
      </w:r>
      <w:proofErr w:type="spellEnd"/>
      <w:r>
        <w:t xml:space="preserve">, and Sydney </w:t>
      </w:r>
      <w:proofErr w:type="spellStart"/>
      <w:r>
        <w:t>Emezue</w:t>
      </w:r>
      <w:proofErr w:type="spellEnd"/>
      <w:r>
        <w:t xml:space="preserve">, (Enugu: </w:t>
      </w:r>
      <w:proofErr w:type="spellStart"/>
      <w:r>
        <w:t>Jemezie</w:t>
      </w:r>
      <w:proofErr w:type="spellEnd"/>
      <w:r>
        <w:t xml:space="preserve"> Associates, 1997), 56-57</w:t>
      </w:r>
    </w:p>
  </w:footnote>
  <w:footnote w:id="113">
    <w:p w14:paraId="38838018" w14:textId="77777777" w:rsidR="0025406B" w:rsidRPr="005E236A" w:rsidRDefault="0025406B">
      <w:pPr>
        <w:pStyle w:val="FootnoteText"/>
      </w:pPr>
      <w:r>
        <w:rPr>
          <w:rStyle w:val="FootnoteReference"/>
        </w:rPr>
        <w:footnoteRef/>
      </w:r>
      <w:r>
        <w:t xml:space="preserve"> Gould, </w:t>
      </w:r>
      <w:r>
        <w:rPr>
          <w:i/>
        </w:rPr>
        <w:t>Struggle for Modern Nigeria</w:t>
      </w:r>
      <w:r>
        <w:t>, 119-121.</w:t>
      </w:r>
    </w:p>
  </w:footnote>
  <w:footnote w:id="114">
    <w:p w14:paraId="27D5E226" w14:textId="77777777" w:rsidR="0025406B" w:rsidRDefault="0025406B">
      <w:pPr>
        <w:pStyle w:val="FootnoteText"/>
      </w:pPr>
      <w:r>
        <w:rPr>
          <w:rStyle w:val="FootnoteReference"/>
        </w:rPr>
        <w:footnoteRef/>
      </w:r>
      <w:r>
        <w:t xml:space="preserve"> </w:t>
      </w:r>
      <w:proofErr w:type="spellStart"/>
      <w:r>
        <w:t>Herneit</w:t>
      </w:r>
      <w:proofErr w:type="spellEnd"/>
      <w:r>
        <w:t>-Sievers, “The People, the Soldiers, and the State,” 50-58.</w:t>
      </w:r>
    </w:p>
  </w:footnote>
  <w:footnote w:id="115">
    <w:p w14:paraId="7E57FC18" w14:textId="6066564C" w:rsidR="0025406B" w:rsidRDefault="0025406B">
      <w:pPr>
        <w:pStyle w:val="FootnoteText"/>
      </w:pPr>
      <w:r>
        <w:rPr>
          <w:rStyle w:val="FootnoteReference"/>
        </w:rPr>
        <w:footnoteRef/>
      </w:r>
      <w:r>
        <w:t xml:space="preserve"> Ibid., 50-52.</w:t>
      </w:r>
    </w:p>
  </w:footnote>
  <w:footnote w:id="116">
    <w:p w14:paraId="106F13FE" w14:textId="77777777" w:rsidR="0025406B" w:rsidRPr="00CC1B3B" w:rsidRDefault="0025406B">
      <w:pPr>
        <w:pStyle w:val="FootnoteText"/>
      </w:pPr>
      <w:r>
        <w:rPr>
          <w:rStyle w:val="FootnoteReference"/>
        </w:rPr>
        <w:footnoteRef/>
      </w:r>
      <w:r>
        <w:t xml:space="preserve"> Gould, </w:t>
      </w:r>
      <w:r>
        <w:rPr>
          <w:i/>
        </w:rPr>
        <w:t>The Struggle for Modern Nigeria</w:t>
      </w:r>
      <w:r>
        <w:t>, 88-89</w:t>
      </w:r>
    </w:p>
  </w:footnote>
  <w:footnote w:id="117">
    <w:p w14:paraId="105EA0B6" w14:textId="77777777" w:rsidR="0025406B" w:rsidRDefault="0025406B">
      <w:pPr>
        <w:pStyle w:val="FootnoteText"/>
      </w:pPr>
      <w:r>
        <w:rPr>
          <w:rStyle w:val="FootnoteReference"/>
        </w:rPr>
        <w:footnoteRef/>
      </w:r>
      <w:r>
        <w:t xml:space="preserve"> </w:t>
      </w:r>
      <w:proofErr w:type="spellStart"/>
      <w:r>
        <w:t>Herneit</w:t>
      </w:r>
      <w:proofErr w:type="spellEnd"/>
      <w:r>
        <w:t xml:space="preserve"> Sievers, “The People, the Soldiers, and the State,” 48-49</w:t>
      </w:r>
    </w:p>
  </w:footnote>
  <w:footnote w:id="118">
    <w:p w14:paraId="19482AC1" w14:textId="77777777" w:rsidR="0025406B" w:rsidRPr="00CC1B3B" w:rsidRDefault="0025406B">
      <w:pPr>
        <w:pStyle w:val="FootnoteText"/>
      </w:pPr>
      <w:r>
        <w:rPr>
          <w:rStyle w:val="FootnoteReference"/>
        </w:rPr>
        <w:footnoteRef/>
      </w:r>
      <w:r>
        <w:t xml:space="preserve"> </w:t>
      </w:r>
      <w:proofErr w:type="spellStart"/>
      <w:r>
        <w:t>Chikwendu</w:t>
      </w:r>
      <w:proofErr w:type="spellEnd"/>
      <w:r>
        <w:t xml:space="preserve"> Christian </w:t>
      </w:r>
      <w:proofErr w:type="spellStart"/>
      <w:r>
        <w:t>Ukaegbu</w:t>
      </w:r>
      <w:proofErr w:type="spellEnd"/>
      <w:r>
        <w:t xml:space="preserve">, “Lessons from Biafra: The </w:t>
      </w:r>
      <w:proofErr w:type="spellStart"/>
      <w:r>
        <w:t>Stucturation</w:t>
      </w:r>
      <w:proofErr w:type="spellEnd"/>
      <w:r>
        <w:t xml:space="preserve"> of Socially Relevant Science in the Research Production Directorate,” </w:t>
      </w:r>
      <w:r>
        <w:rPr>
          <w:i/>
        </w:rPr>
        <w:t>Social Forces</w:t>
      </w:r>
      <w:r>
        <w:t xml:space="preserve"> 83, No. 4 (2005), 1395-1423.</w:t>
      </w:r>
    </w:p>
  </w:footnote>
  <w:footnote w:id="119">
    <w:p w14:paraId="009CF047" w14:textId="77777777" w:rsidR="0025406B" w:rsidRDefault="0025406B">
      <w:pPr>
        <w:pStyle w:val="FootnoteText"/>
      </w:pPr>
      <w:r>
        <w:rPr>
          <w:rStyle w:val="FootnoteReference"/>
        </w:rPr>
        <w:footnoteRef/>
      </w:r>
      <w:r>
        <w:t xml:space="preserve"> Sydney </w:t>
      </w:r>
      <w:proofErr w:type="spellStart"/>
      <w:r>
        <w:t>Emezue</w:t>
      </w:r>
      <w:proofErr w:type="spellEnd"/>
      <w:r>
        <w:t xml:space="preserve">, “Survival and Survival Strategies,” </w:t>
      </w:r>
      <w:r>
        <w:rPr>
          <w:i/>
        </w:rPr>
        <w:t>A Social History of the Nigerian Civil War: Perspectives from Below</w:t>
      </w:r>
      <w:r>
        <w:t xml:space="preserve">, eds. Axel </w:t>
      </w:r>
      <w:proofErr w:type="spellStart"/>
      <w:r>
        <w:t>Harneit</w:t>
      </w:r>
      <w:proofErr w:type="spellEnd"/>
      <w:r>
        <w:t xml:space="preserve"> Sievers, Jones O. </w:t>
      </w:r>
      <w:proofErr w:type="spellStart"/>
      <w:r>
        <w:t>Ahazuem</w:t>
      </w:r>
      <w:proofErr w:type="spellEnd"/>
      <w:r>
        <w:t xml:space="preserve">, and Sydney </w:t>
      </w:r>
      <w:proofErr w:type="spellStart"/>
      <w:r>
        <w:t>Emezue</w:t>
      </w:r>
      <w:proofErr w:type="spellEnd"/>
      <w:r>
        <w:t xml:space="preserve">, (Enugu: </w:t>
      </w:r>
      <w:proofErr w:type="spellStart"/>
      <w:r>
        <w:t>Jemezie</w:t>
      </w:r>
      <w:proofErr w:type="spellEnd"/>
      <w:r>
        <w:t xml:space="preserve"> Associates, 1997), 109-110</w:t>
      </w:r>
    </w:p>
  </w:footnote>
  <w:footnote w:id="120">
    <w:p w14:paraId="74ABE786" w14:textId="68F10777" w:rsidR="0025406B" w:rsidRPr="00B94E63" w:rsidRDefault="0025406B">
      <w:pPr>
        <w:pStyle w:val="FootnoteText"/>
      </w:pPr>
      <w:r>
        <w:rPr>
          <w:rStyle w:val="FootnoteReference"/>
        </w:rPr>
        <w:footnoteRef/>
      </w:r>
      <w:r>
        <w:t xml:space="preserve"> Gould, </w:t>
      </w:r>
      <w:r>
        <w:rPr>
          <w:i/>
        </w:rPr>
        <w:t>The Struggle for Modern Nigeria</w:t>
      </w:r>
      <w:r>
        <w:t>, 88-93.</w:t>
      </w:r>
    </w:p>
  </w:footnote>
  <w:footnote w:id="121">
    <w:p w14:paraId="15E21929" w14:textId="01B5C7E4" w:rsidR="0025406B" w:rsidRDefault="0025406B">
      <w:pPr>
        <w:pStyle w:val="FootnoteText"/>
      </w:pPr>
      <w:r>
        <w:rPr>
          <w:rStyle w:val="FootnoteReference"/>
        </w:rPr>
        <w:footnoteRef/>
      </w:r>
      <w:r>
        <w:t xml:space="preserve"> </w:t>
      </w:r>
    </w:p>
  </w:footnote>
  <w:footnote w:id="122">
    <w:p w14:paraId="1FBA962F" w14:textId="77777777" w:rsidR="0025406B" w:rsidRDefault="0025406B" w:rsidP="006C1697">
      <w:pPr>
        <w:pStyle w:val="FootnoteText"/>
      </w:pPr>
      <w:r>
        <w:rPr>
          <w:rStyle w:val="FootnoteReference"/>
        </w:rPr>
        <w:footnoteRef/>
      </w:r>
      <w:r>
        <w:t xml:space="preserve"> </w:t>
      </w:r>
      <w:bookmarkStart w:id="0" w:name="_Hlk14011817"/>
      <w:proofErr w:type="spellStart"/>
      <w:r>
        <w:t>Ashan</w:t>
      </w:r>
      <w:proofErr w:type="spellEnd"/>
      <w:r>
        <w:t xml:space="preserve"> I. Butt, “</w:t>
      </w:r>
      <w:r w:rsidRPr="006C1697">
        <w:t xml:space="preserve">Pakistan’s Genocide in Bengal and Limited War in </w:t>
      </w:r>
      <w:proofErr w:type="spellStart"/>
      <w:r w:rsidRPr="006C1697">
        <w:t>Balochistan</w:t>
      </w:r>
      <w:proofErr w:type="spellEnd"/>
      <w:r w:rsidRPr="006C1697">
        <w:t>, 1971–1977</w:t>
      </w:r>
      <w:r>
        <w:t xml:space="preserve">” in </w:t>
      </w:r>
      <w:r>
        <w:rPr>
          <w:i/>
        </w:rPr>
        <w:t xml:space="preserve">Secession and Security: Explaining State Strategy against </w:t>
      </w:r>
      <w:r w:rsidRPr="007E6238">
        <w:rPr>
          <w:i/>
        </w:rPr>
        <w:t>Separatists</w:t>
      </w:r>
      <w:r>
        <w:rPr>
          <w:i/>
        </w:rPr>
        <w:t xml:space="preserve"> </w:t>
      </w:r>
      <w:r>
        <w:t xml:space="preserve">(Ithaca, NY: Cornell University Press, 2017), </w:t>
      </w:r>
      <w:r w:rsidRPr="007E6238">
        <w:t>47</w:t>
      </w:r>
      <w:r>
        <w:t>-51</w:t>
      </w:r>
      <w:bookmarkEnd w:id="0"/>
      <w:r>
        <w:t>.</w:t>
      </w:r>
    </w:p>
  </w:footnote>
  <w:footnote w:id="123">
    <w:p w14:paraId="54203A01" w14:textId="77777777" w:rsidR="0025406B" w:rsidRDefault="0025406B">
      <w:pPr>
        <w:pStyle w:val="FootnoteText"/>
      </w:pPr>
      <w:r>
        <w:rPr>
          <w:rStyle w:val="FootnoteReference"/>
        </w:rPr>
        <w:footnoteRef/>
      </w:r>
      <w:r>
        <w:t xml:space="preserve"> Ibid. 44.</w:t>
      </w:r>
    </w:p>
  </w:footnote>
  <w:footnote w:id="124">
    <w:p w14:paraId="735E0ECA" w14:textId="77777777" w:rsidR="0025406B" w:rsidRDefault="0025406B">
      <w:pPr>
        <w:pStyle w:val="FootnoteText"/>
      </w:pPr>
      <w:r>
        <w:rPr>
          <w:rStyle w:val="FootnoteReference"/>
        </w:rPr>
        <w:footnoteRef/>
      </w:r>
      <w:r>
        <w:t xml:space="preserve"> Onkar </w:t>
      </w:r>
      <w:proofErr w:type="spellStart"/>
      <w:r>
        <w:t>Marweh</w:t>
      </w:r>
      <w:proofErr w:type="spellEnd"/>
      <w:r>
        <w:t xml:space="preserve">, “India’s Intervention in East Pakistan, 1971-1972,” </w:t>
      </w:r>
      <w:r>
        <w:rPr>
          <w:i/>
        </w:rPr>
        <w:t>Modern Asian Studies</w:t>
      </w:r>
      <w:r>
        <w:t xml:space="preserve"> 13, (No. 4 (1979), 564-570.</w:t>
      </w:r>
    </w:p>
  </w:footnote>
  <w:footnote w:id="125">
    <w:p w14:paraId="7A6A5C68" w14:textId="77777777" w:rsidR="0025406B" w:rsidRDefault="0025406B">
      <w:pPr>
        <w:pStyle w:val="FootnoteText"/>
      </w:pPr>
      <w:r>
        <w:rPr>
          <w:rStyle w:val="FootnoteReference"/>
        </w:rPr>
        <w:footnoteRef/>
      </w:r>
      <w:r>
        <w:t xml:space="preserve"> Ibid. 568.</w:t>
      </w:r>
    </w:p>
  </w:footnote>
  <w:footnote w:id="126">
    <w:p w14:paraId="5D67F9E4" w14:textId="77777777" w:rsidR="0025406B" w:rsidRDefault="0025406B">
      <w:pPr>
        <w:pStyle w:val="FootnoteText"/>
      </w:pPr>
      <w:r>
        <w:rPr>
          <w:rStyle w:val="FootnoteReference"/>
        </w:rPr>
        <w:footnoteRef/>
      </w:r>
      <w:r>
        <w:t xml:space="preserve"> </w:t>
      </w:r>
      <w:proofErr w:type="spellStart"/>
      <w:r>
        <w:t>Ninette</w:t>
      </w:r>
      <w:proofErr w:type="spellEnd"/>
      <w:r>
        <w:t xml:space="preserve"> Kelley, “Ideas, Interests, and Institutions: Conceding Citizenship in Bangladesh,” </w:t>
      </w:r>
      <w:r>
        <w:rPr>
          <w:i/>
        </w:rPr>
        <w:t>The University of Toronto Law Journal</w:t>
      </w:r>
      <w:r>
        <w:t xml:space="preserve"> 60, No. 2 (2010), 355.</w:t>
      </w:r>
    </w:p>
  </w:footnote>
  <w:footnote w:id="127">
    <w:p w14:paraId="78EA8042" w14:textId="77777777" w:rsidR="0025406B" w:rsidRPr="00323550" w:rsidRDefault="0025406B">
      <w:pPr>
        <w:pStyle w:val="FootnoteText"/>
      </w:pPr>
      <w:r>
        <w:rPr>
          <w:rStyle w:val="FootnoteReference"/>
        </w:rPr>
        <w:footnoteRef/>
      </w:r>
      <w:r>
        <w:t xml:space="preserve"> David Ludden, “The Politics of Independence in Bangladesh,” </w:t>
      </w:r>
      <w:r>
        <w:rPr>
          <w:i/>
        </w:rPr>
        <w:t>Economic and Political Weekly</w:t>
      </w:r>
      <w:r>
        <w:t xml:space="preserve"> 46, No. 35 (2011), 81-85.</w:t>
      </w:r>
    </w:p>
  </w:footnote>
  <w:footnote w:id="128">
    <w:p w14:paraId="57475B69" w14:textId="77777777" w:rsidR="0025406B" w:rsidRDefault="0025406B">
      <w:pPr>
        <w:pStyle w:val="FootnoteText"/>
      </w:pPr>
      <w:r>
        <w:rPr>
          <w:rStyle w:val="FootnoteReference"/>
        </w:rPr>
        <w:footnoteRef/>
      </w:r>
      <w:r>
        <w:t xml:space="preserve"> </w:t>
      </w:r>
      <w:r w:rsidRPr="000258A2">
        <w:t xml:space="preserve">Butt, “Pakistan’s Genocide in Bengal and Limited War in </w:t>
      </w:r>
      <w:proofErr w:type="spellStart"/>
      <w:r w:rsidRPr="000258A2">
        <w:t>Balochistan</w:t>
      </w:r>
      <w:proofErr w:type="spellEnd"/>
      <w:r w:rsidRPr="000258A2">
        <w:t xml:space="preserve">,” </w:t>
      </w:r>
      <w:r>
        <w:t>63-69.</w:t>
      </w:r>
    </w:p>
  </w:footnote>
  <w:footnote w:id="129">
    <w:p w14:paraId="678AB9A9" w14:textId="77777777" w:rsidR="0025406B" w:rsidRDefault="0025406B">
      <w:pPr>
        <w:pStyle w:val="FootnoteText"/>
      </w:pPr>
      <w:r>
        <w:rPr>
          <w:rStyle w:val="FootnoteReference"/>
        </w:rPr>
        <w:footnoteRef/>
      </w:r>
      <w:r>
        <w:t xml:space="preserve"> Selig S. Harrison, “Baluch Nationalism and Superpower Rivalry,” </w:t>
      </w:r>
      <w:r>
        <w:rPr>
          <w:i/>
        </w:rPr>
        <w:t xml:space="preserve">International </w:t>
      </w:r>
      <w:r w:rsidRPr="00FB317B">
        <w:rPr>
          <w:i/>
        </w:rPr>
        <w:t>Security</w:t>
      </w:r>
      <w:r>
        <w:rPr>
          <w:i/>
        </w:rPr>
        <w:t xml:space="preserve"> </w:t>
      </w:r>
      <w:r>
        <w:t xml:space="preserve">5, No. 3 (1981), </w:t>
      </w:r>
      <w:r w:rsidRPr="00FB317B">
        <w:t>159</w:t>
      </w:r>
      <w:r>
        <w:t>-160.</w:t>
      </w:r>
    </w:p>
  </w:footnote>
  <w:footnote w:id="130">
    <w:p w14:paraId="50018586" w14:textId="77777777" w:rsidR="0025406B" w:rsidRDefault="0025406B">
      <w:pPr>
        <w:pStyle w:val="FootnoteText"/>
      </w:pPr>
      <w:r>
        <w:rPr>
          <w:rStyle w:val="FootnoteReference"/>
        </w:rPr>
        <w:footnoteRef/>
      </w:r>
      <w:r>
        <w:t xml:space="preserve"> Selig S. Harrison, “Nightmare in Baluchistan,” </w:t>
      </w:r>
      <w:r>
        <w:rPr>
          <w:i/>
        </w:rPr>
        <w:t>Foreign Policy</w:t>
      </w:r>
      <w:r>
        <w:t xml:space="preserve"> No. 32 (1978), 143-144, 147-148.</w:t>
      </w:r>
    </w:p>
  </w:footnote>
  <w:footnote w:id="131">
    <w:p w14:paraId="656C4C8E" w14:textId="77777777" w:rsidR="0025406B" w:rsidRDefault="0025406B">
      <w:pPr>
        <w:pStyle w:val="FootnoteText"/>
      </w:pPr>
      <w:r>
        <w:rPr>
          <w:rStyle w:val="FootnoteReference"/>
        </w:rPr>
        <w:footnoteRef/>
      </w:r>
      <w:r>
        <w:t xml:space="preserve"> Selig S. Harrison, “Fanning the Flames in South Asia,” </w:t>
      </w:r>
      <w:r>
        <w:rPr>
          <w:i/>
        </w:rPr>
        <w:t>Foreign Policy,</w:t>
      </w:r>
      <w:r>
        <w:t xml:space="preserve"> No. 45 (1982), 89.</w:t>
      </w:r>
    </w:p>
  </w:footnote>
  <w:footnote w:id="132">
    <w:p w14:paraId="06C1CC7D" w14:textId="77777777" w:rsidR="0025406B" w:rsidRDefault="0025406B">
      <w:pPr>
        <w:pStyle w:val="FootnoteText"/>
      </w:pPr>
      <w:r>
        <w:rPr>
          <w:rStyle w:val="FootnoteReference"/>
        </w:rPr>
        <w:footnoteRef/>
      </w:r>
      <w:r>
        <w:t xml:space="preserve"> Butt, “Pakistan’s Genocide in Bengal and Limited War in </w:t>
      </w:r>
      <w:proofErr w:type="spellStart"/>
      <w:r>
        <w:t>Balochistan</w:t>
      </w:r>
      <w:proofErr w:type="spellEnd"/>
      <w:r>
        <w:t xml:space="preserve">,” 67. </w:t>
      </w:r>
    </w:p>
  </w:footnote>
  <w:footnote w:id="133">
    <w:p w14:paraId="53CE9646" w14:textId="77777777" w:rsidR="0025406B" w:rsidRDefault="0025406B">
      <w:pPr>
        <w:pStyle w:val="FootnoteText"/>
      </w:pPr>
      <w:r>
        <w:rPr>
          <w:rStyle w:val="FootnoteReference"/>
        </w:rPr>
        <w:footnoteRef/>
      </w:r>
      <w:r>
        <w:t xml:space="preserve"> Harrison, “Baluch Nationalism and Superpower Rivalry,” 158-160.</w:t>
      </w:r>
    </w:p>
  </w:footnote>
  <w:footnote w:id="134">
    <w:p w14:paraId="3767E47B" w14:textId="77777777" w:rsidR="0025406B" w:rsidRDefault="0025406B">
      <w:pPr>
        <w:pStyle w:val="FootnoteText"/>
      </w:pPr>
      <w:r>
        <w:rPr>
          <w:rStyle w:val="FootnoteReference"/>
        </w:rPr>
        <w:footnoteRef/>
      </w:r>
      <w:r>
        <w:t xml:space="preserve"> Selig S. Harrison, </w:t>
      </w:r>
      <w:r>
        <w:rPr>
          <w:i/>
        </w:rPr>
        <w:t>In Afghanistan’s Shadow: Baluch Nationalism and Soviet Temptations</w:t>
      </w:r>
      <w:r>
        <w:t>, (New York: Carnegie Endowment for International Peace, 1981), 33.</w:t>
      </w:r>
    </w:p>
  </w:footnote>
  <w:footnote w:id="135">
    <w:p w14:paraId="27B50F7D" w14:textId="77777777" w:rsidR="0025406B" w:rsidRDefault="0025406B">
      <w:pPr>
        <w:pStyle w:val="FootnoteText"/>
      </w:pPr>
      <w:r>
        <w:rPr>
          <w:rStyle w:val="FootnoteReference"/>
        </w:rPr>
        <w:footnoteRef/>
      </w:r>
      <w:r>
        <w:t xml:space="preserve"> Ibid, 72-83.</w:t>
      </w:r>
    </w:p>
  </w:footnote>
  <w:footnote w:id="136">
    <w:p w14:paraId="681FE8DA" w14:textId="77777777" w:rsidR="0025406B" w:rsidRDefault="0025406B">
      <w:pPr>
        <w:pStyle w:val="FootnoteText"/>
      </w:pPr>
      <w:r>
        <w:rPr>
          <w:rStyle w:val="FootnoteReference"/>
        </w:rPr>
        <w:footnoteRef/>
      </w:r>
      <w:r>
        <w:t xml:space="preserve"> Akhtar Husain Siddiqi, </w:t>
      </w:r>
      <w:r>
        <w:rPr>
          <w:i/>
        </w:rPr>
        <w:t>Baluchistan (Pakistan): Its Society, Resources and Development</w:t>
      </w:r>
      <w:r>
        <w:t xml:space="preserve"> (Lanham, MD: University Press of America, 1991), 273.</w:t>
      </w:r>
    </w:p>
  </w:footnote>
  <w:footnote w:id="137">
    <w:p w14:paraId="2B34E71C" w14:textId="77777777" w:rsidR="0025406B" w:rsidRDefault="0025406B">
      <w:pPr>
        <w:pStyle w:val="FootnoteText"/>
      </w:pPr>
      <w:r>
        <w:rPr>
          <w:rStyle w:val="FootnoteReference"/>
        </w:rPr>
        <w:footnoteRef/>
      </w:r>
      <w:r>
        <w:t xml:space="preserve"> Paul Titus and Nina </w:t>
      </w:r>
      <w:proofErr w:type="spellStart"/>
      <w:r>
        <w:t>Swidler</w:t>
      </w:r>
      <w:proofErr w:type="spellEnd"/>
      <w:r>
        <w:t xml:space="preserve">, “Knights, Not Pawns: Ethno-Nationalism and Regional Dynamics in Post-Colonial </w:t>
      </w:r>
      <w:proofErr w:type="spellStart"/>
      <w:r>
        <w:t>Balochistan</w:t>
      </w:r>
      <w:proofErr w:type="spellEnd"/>
      <w:r>
        <w:t xml:space="preserve">,” </w:t>
      </w:r>
      <w:r>
        <w:rPr>
          <w:i/>
        </w:rPr>
        <w:t>International Journal of Middle East Studies</w:t>
      </w:r>
      <w:r>
        <w:t xml:space="preserve"> 32, No. 1 (2000), 62.</w:t>
      </w:r>
    </w:p>
  </w:footnote>
  <w:footnote w:id="138">
    <w:p w14:paraId="2792F6F0" w14:textId="77777777" w:rsidR="0025406B" w:rsidRDefault="0025406B">
      <w:pPr>
        <w:pStyle w:val="FootnoteText"/>
      </w:pPr>
      <w:r>
        <w:rPr>
          <w:rStyle w:val="FootnoteReference"/>
        </w:rPr>
        <w:footnoteRef/>
      </w:r>
      <w:r>
        <w:t xml:space="preserve"> Urmila </w:t>
      </w:r>
      <w:proofErr w:type="spellStart"/>
      <w:r>
        <w:t>Phadnis</w:t>
      </w:r>
      <w:proofErr w:type="spellEnd"/>
      <w:r>
        <w:t xml:space="preserve">, “Insurgency in Ceylon: Hard Challenge and Grim Warning,” </w:t>
      </w:r>
      <w:r>
        <w:rPr>
          <w:i/>
        </w:rPr>
        <w:t>Economic and Political Weekly</w:t>
      </w:r>
      <w:r>
        <w:t xml:space="preserve"> 6, No. 6 (1971), 966.</w:t>
      </w:r>
    </w:p>
  </w:footnote>
  <w:footnote w:id="139">
    <w:p w14:paraId="4C181FE4" w14:textId="77777777" w:rsidR="0025406B" w:rsidRDefault="0025406B">
      <w:pPr>
        <w:pStyle w:val="FootnoteText"/>
      </w:pPr>
      <w:r>
        <w:rPr>
          <w:rStyle w:val="FootnoteReference"/>
        </w:rPr>
        <w:footnoteRef/>
      </w:r>
      <w:r>
        <w:t xml:space="preserve"> W. A. </w:t>
      </w:r>
      <w:proofErr w:type="spellStart"/>
      <w:r>
        <w:t>Wiswa</w:t>
      </w:r>
      <w:proofErr w:type="spellEnd"/>
      <w:r>
        <w:t xml:space="preserve"> </w:t>
      </w:r>
      <w:proofErr w:type="spellStart"/>
      <w:r>
        <w:t>Warnapala</w:t>
      </w:r>
      <w:proofErr w:type="spellEnd"/>
      <w:r>
        <w:t xml:space="preserve">, “The Marxist Parties of Sri Lanka and the 1971 Insurrection,” </w:t>
      </w:r>
      <w:r>
        <w:rPr>
          <w:i/>
        </w:rPr>
        <w:t>Asian Survey</w:t>
      </w:r>
      <w:r>
        <w:t xml:space="preserve"> 15, No. 9 (1975), 747-748; the author specifically charges that their idea of a revolution did not stem from the masses and that their primary driving force to social change was nothing more than anti-Indian racism.</w:t>
      </w:r>
    </w:p>
  </w:footnote>
  <w:footnote w:id="140">
    <w:p w14:paraId="548C4B56" w14:textId="77777777" w:rsidR="0025406B" w:rsidRDefault="0025406B">
      <w:pPr>
        <w:pStyle w:val="FootnoteText"/>
      </w:pPr>
      <w:r>
        <w:rPr>
          <w:rStyle w:val="FootnoteReference"/>
        </w:rPr>
        <w:footnoteRef/>
      </w:r>
      <w:r>
        <w:t xml:space="preserve"> </w:t>
      </w:r>
      <w:proofErr w:type="spellStart"/>
      <w:r>
        <w:t>Phadnis</w:t>
      </w:r>
      <w:proofErr w:type="spellEnd"/>
      <w:r>
        <w:t>, “Insurgency in Ceylon,” 965-968.</w:t>
      </w:r>
    </w:p>
  </w:footnote>
  <w:footnote w:id="141">
    <w:p w14:paraId="25331675" w14:textId="77777777" w:rsidR="0025406B" w:rsidRDefault="0025406B">
      <w:pPr>
        <w:pStyle w:val="FootnoteText"/>
      </w:pPr>
      <w:r>
        <w:rPr>
          <w:rStyle w:val="FootnoteReference"/>
        </w:rPr>
        <w:footnoteRef/>
      </w:r>
      <w:r>
        <w:t xml:space="preserve"> </w:t>
      </w:r>
      <w:proofErr w:type="spellStart"/>
      <w:r>
        <w:t>Mehrunisa</w:t>
      </w:r>
      <w:proofErr w:type="spellEnd"/>
      <w:r>
        <w:t xml:space="preserve"> Iqbal, “The Insurgency in Ceylon and its Repercussions,” </w:t>
      </w:r>
      <w:r>
        <w:rPr>
          <w:i/>
        </w:rPr>
        <w:t>Pakistan Horizon</w:t>
      </w:r>
      <w:r>
        <w:t xml:space="preserve"> 25, No. 2 (1972), 53.</w:t>
      </w:r>
    </w:p>
  </w:footnote>
  <w:footnote w:id="142">
    <w:p w14:paraId="33F155C7" w14:textId="77777777" w:rsidR="0025406B" w:rsidRDefault="0025406B" w:rsidP="00DA1005">
      <w:pPr>
        <w:pStyle w:val="FootnoteText"/>
      </w:pPr>
      <w:r>
        <w:rPr>
          <w:rStyle w:val="FootnoteReference"/>
        </w:rPr>
        <w:footnoteRef/>
      </w:r>
      <w:r>
        <w:t xml:space="preserve"> </w:t>
      </w:r>
      <w:proofErr w:type="spellStart"/>
      <w:r>
        <w:t>Phadnis</w:t>
      </w:r>
      <w:proofErr w:type="spellEnd"/>
      <w:r>
        <w:t>, “Insurgency in Ceylon,” 965.</w:t>
      </w:r>
    </w:p>
  </w:footnote>
  <w:footnote w:id="143">
    <w:p w14:paraId="4C7493E0" w14:textId="77777777" w:rsidR="0025406B" w:rsidRDefault="0025406B">
      <w:pPr>
        <w:pStyle w:val="FootnoteText"/>
      </w:pPr>
      <w:r>
        <w:rPr>
          <w:rStyle w:val="FootnoteReference"/>
        </w:rPr>
        <w:footnoteRef/>
      </w:r>
      <w:r>
        <w:t xml:space="preserve"> Robert N. Kearney, “Youth Protest in the Politics of Sri Lanka,” </w:t>
      </w:r>
      <w:r>
        <w:rPr>
          <w:i/>
        </w:rPr>
        <w:t>Sociological</w:t>
      </w:r>
      <w:r w:rsidRPr="00A8314B">
        <w:rPr>
          <w:i/>
        </w:rPr>
        <w:t xml:space="preserve"> Focus</w:t>
      </w:r>
      <w:r>
        <w:t xml:space="preserve"> 13, No. 3 (1980), </w:t>
      </w:r>
      <w:r w:rsidRPr="00A8314B">
        <w:t>300</w:t>
      </w:r>
      <w:r>
        <w:t>-301.</w:t>
      </w:r>
    </w:p>
  </w:footnote>
  <w:footnote w:id="144">
    <w:p w14:paraId="2F59D763" w14:textId="77777777" w:rsidR="0025406B" w:rsidRDefault="0025406B">
      <w:pPr>
        <w:pStyle w:val="FootnoteText"/>
      </w:pPr>
      <w:r>
        <w:rPr>
          <w:rStyle w:val="FootnoteReference"/>
        </w:rPr>
        <w:footnoteRef/>
      </w:r>
      <w:r>
        <w:t xml:space="preserve"> Mick Moore, “Thoroughly Modern Revolutionaries: The JVP in Sri Lanka,” </w:t>
      </w:r>
      <w:r>
        <w:rPr>
          <w:i/>
        </w:rPr>
        <w:t xml:space="preserve">Modern Asian </w:t>
      </w:r>
      <w:r w:rsidRPr="008E0C1B">
        <w:rPr>
          <w:i/>
        </w:rPr>
        <w:t>Studies</w:t>
      </w:r>
      <w:r>
        <w:t xml:space="preserve"> 27, No. 3 (1993),</w:t>
      </w:r>
      <w:r w:rsidRPr="008E0C1B">
        <w:t xml:space="preserve"> 605</w:t>
      </w:r>
      <w:r>
        <w:t>.</w:t>
      </w:r>
    </w:p>
  </w:footnote>
  <w:footnote w:id="145">
    <w:p w14:paraId="24A8B0BB" w14:textId="77777777" w:rsidR="0025406B" w:rsidRDefault="0025406B" w:rsidP="00B86563">
      <w:pPr>
        <w:pStyle w:val="FootnoteText"/>
      </w:pPr>
      <w:r>
        <w:rPr>
          <w:rStyle w:val="FootnoteReference"/>
        </w:rPr>
        <w:footnoteRef/>
      </w:r>
      <w:r>
        <w:t xml:space="preserve"> C. A. </w:t>
      </w:r>
      <w:proofErr w:type="spellStart"/>
      <w:r>
        <w:t>Chandraprema</w:t>
      </w:r>
      <w:proofErr w:type="spellEnd"/>
      <w:r>
        <w:t xml:space="preserve">, </w:t>
      </w:r>
      <w:r w:rsidRPr="00B86563">
        <w:rPr>
          <w:i/>
        </w:rPr>
        <w:t>Sri Lanka, the Years of Terror: The J.V.P. Insurrection, 1987-1989</w:t>
      </w:r>
      <w:r>
        <w:t>. (Colombo: Lake House Bookshop, 1991), 16.</w:t>
      </w:r>
    </w:p>
  </w:footnote>
  <w:footnote w:id="146">
    <w:p w14:paraId="7690BF83" w14:textId="77777777" w:rsidR="0025406B" w:rsidRDefault="0025406B">
      <w:pPr>
        <w:pStyle w:val="FootnoteText"/>
      </w:pPr>
      <w:r>
        <w:rPr>
          <w:rStyle w:val="FootnoteReference"/>
        </w:rPr>
        <w:footnoteRef/>
      </w:r>
      <w:r>
        <w:t xml:space="preserve"> Moore, “Thoroughly Modern Revolutionaries,” 626-628.</w:t>
      </w:r>
    </w:p>
  </w:footnote>
  <w:footnote w:id="147">
    <w:p w14:paraId="2A0FECAB" w14:textId="77777777" w:rsidR="0025406B" w:rsidRDefault="0025406B">
      <w:pPr>
        <w:pStyle w:val="FootnoteText"/>
      </w:pPr>
      <w:r>
        <w:rPr>
          <w:rStyle w:val="FootnoteReference"/>
        </w:rPr>
        <w:footnoteRef/>
      </w:r>
      <w:r>
        <w:t xml:space="preserve"> Douglas H. Johnson, </w:t>
      </w:r>
      <w:r>
        <w:rPr>
          <w:i/>
        </w:rPr>
        <w:t>The Root Causes of Sudan’s Civil Wars: Peace or Truce, Revised Edition</w:t>
      </w:r>
      <w:r>
        <w:t>. (Kampala, Uganda: Fountain Publishers, 2011), 27-29.</w:t>
      </w:r>
    </w:p>
  </w:footnote>
  <w:footnote w:id="148">
    <w:p w14:paraId="3FF71B23" w14:textId="77777777" w:rsidR="0025406B" w:rsidRDefault="0025406B">
      <w:pPr>
        <w:pStyle w:val="FootnoteText"/>
      </w:pPr>
      <w:r>
        <w:rPr>
          <w:rStyle w:val="FootnoteReference"/>
        </w:rPr>
        <w:footnoteRef/>
      </w:r>
      <w:r>
        <w:t xml:space="preserve"> Ibid. 31-32.</w:t>
      </w:r>
    </w:p>
  </w:footnote>
  <w:footnote w:id="149">
    <w:p w14:paraId="05D8DE57" w14:textId="77777777" w:rsidR="0025406B" w:rsidRDefault="0025406B" w:rsidP="00833AFD">
      <w:pPr>
        <w:pStyle w:val="FootnoteText"/>
      </w:pPr>
      <w:r>
        <w:rPr>
          <w:rStyle w:val="FootnoteReference"/>
        </w:rPr>
        <w:footnoteRef/>
      </w:r>
      <w:r>
        <w:t xml:space="preserve"> Mohamed Omer </w:t>
      </w:r>
      <w:proofErr w:type="spellStart"/>
      <w:r>
        <w:t>Beshir</w:t>
      </w:r>
      <w:proofErr w:type="spellEnd"/>
      <w:r>
        <w:t xml:space="preserve">, </w:t>
      </w:r>
      <w:r>
        <w:rPr>
          <w:i/>
        </w:rPr>
        <w:t>Revolution and Nationalism in the Sudan</w:t>
      </w:r>
      <w:r>
        <w:t>, (New York: Barnes &amp; Noble Books, 1974), 214-215.</w:t>
      </w:r>
    </w:p>
  </w:footnote>
  <w:footnote w:id="150">
    <w:p w14:paraId="6BD6742A" w14:textId="77777777" w:rsidR="0025406B" w:rsidRDefault="0025406B">
      <w:pPr>
        <w:pStyle w:val="FootnoteText"/>
      </w:pPr>
      <w:r>
        <w:rPr>
          <w:rStyle w:val="FootnoteReference"/>
        </w:rPr>
        <w:footnoteRef/>
      </w:r>
      <w:r>
        <w:t xml:space="preserve"> </w:t>
      </w:r>
      <w:proofErr w:type="spellStart"/>
      <w:r>
        <w:t>Hizikias</w:t>
      </w:r>
      <w:proofErr w:type="spellEnd"/>
      <w:r>
        <w:t xml:space="preserve"> Assefa, </w:t>
      </w:r>
      <w:r>
        <w:rPr>
          <w:i/>
        </w:rPr>
        <w:t>Mediation of Civil Wars: Approaches and Strategies—The Sudan Conflict</w:t>
      </w:r>
      <w:r>
        <w:t>, (Boulder, CO: Westview, 1987), 59-60.</w:t>
      </w:r>
    </w:p>
  </w:footnote>
  <w:footnote w:id="151">
    <w:p w14:paraId="1D3350D1" w14:textId="77777777" w:rsidR="0025406B" w:rsidRDefault="0025406B">
      <w:pPr>
        <w:pStyle w:val="FootnoteText"/>
      </w:pPr>
      <w:r>
        <w:rPr>
          <w:rStyle w:val="FootnoteReference"/>
        </w:rPr>
        <w:footnoteRef/>
      </w:r>
      <w:r>
        <w:t xml:space="preserve"> Mohamed Omer </w:t>
      </w:r>
      <w:proofErr w:type="spellStart"/>
      <w:r>
        <w:t>Beshir</w:t>
      </w:r>
      <w:proofErr w:type="spellEnd"/>
      <w:r>
        <w:t xml:space="preserve">, </w:t>
      </w:r>
      <w:r>
        <w:rPr>
          <w:i/>
        </w:rPr>
        <w:t>The Southern Sudan: Background to Conflict</w:t>
      </w:r>
      <w:r>
        <w:t>, (New York: Frederick A. Praeger, 1968), 84-85.</w:t>
      </w:r>
    </w:p>
  </w:footnote>
  <w:footnote w:id="152">
    <w:p w14:paraId="54B02895" w14:textId="77777777" w:rsidR="0025406B" w:rsidRDefault="0025406B">
      <w:pPr>
        <w:pStyle w:val="FootnoteText"/>
      </w:pPr>
      <w:r>
        <w:rPr>
          <w:rStyle w:val="FootnoteReference"/>
        </w:rPr>
        <w:footnoteRef/>
      </w:r>
      <w:r>
        <w:t xml:space="preserve"> Mohamed Omer </w:t>
      </w:r>
      <w:proofErr w:type="spellStart"/>
      <w:r>
        <w:t>Beshir</w:t>
      </w:r>
      <w:proofErr w:type="spellEnd"/>
      <w:r>
        <w:t xml:space="preserve">, </w:t>
      </w:r>
      <w:r>
        <w:rPr>
          <w:i/>
        </w:rPr>
        <w:t>The Southern Sudan: From Conflict to Peace</w:t>
      </w:r>
      <w:r>
        <w:t>, (London, UK: C. Hurst &amp; Company, 1975), 56-60.</w:t>
      </w:r>
    </w:p>
  </w:footnote>
  <w:footnote w:id="153">
    <w:p w14:paraId="0511C0FC" w14:textId="77777777" w:rsidR="0025406B" w:rsidRPr="009E3352" w:rsidRDefault="0025406B" w:rsidP="00043E42">
      <w:pPr>
        <w:pStyle w:val="FootnoteText"/>
      </w:pPr>
      <w:r>
        <w:rPr>
          <w:rStyle w:val="FootnoteReference"/>
        </w:rPr>
        <w:footnoteRef/>
      </w:r>
      <w:r>
        <w:t xml:space="preserve"> Ibid. 62.</w:t>
      </w:r>
    </w:p>
  </w:footnote>
  <w:footnote w:id="154">
    <w:p w14:paraId="152549C2" w14:textId="77777777" w:rsidR="0025406B" w:rsidRDefault="0025406B">
      <w:pPr>
        <w:pStyle w:val="FootnoteText"/>
      </w:pPr>
      <w:r>
        <w:rPr>
          <w:rStyle w:val="FootnoteReference"/>
        </w:rPr>
        <w:footnoteRef/>
      </w:r>
      <w:r>
        <w:t xml:space="preserve"> Assefa, </w:t>
      </w:r>
      <w:r>
        <w:rPr>
          <w:i/>
        </w:rPr>
        <w:t>Mediation of Civil Wars</w:t>
      </w:r>
      <w:r>
        <w:t>, 70-71.</w:t>
      </w:r>
    </w:p>
  </w:footnote>
  <w:footnote w:id="155">
    <w:p w14:paraId="528B5285" w14:textId="77777777" w:rsidR="0025406B" w:rsidRDefault="0025406B">
      <w:pPr>
        <w:pStyle w:val="FootnoteText"/>
      </w:pPr>
      <w:r>
        <w:rPr>
          <w:rStyle w:val="FootnoteReference"/>
        </w:rPr>
        <w:footnoteRef/>
      </w:r>
      <w:r>
        <w:t xml:space="preserve"> Robert O. Collins, </w:t>
      </w:r>
      <w:r>
        <w:rPr>
          <w:i/>
        </w:rPr>
        <w:t>The Southern Sudan in Historical Perspective</w:t>
      </w:r>
      <w:r>
        <w:t>, (Tel Aviv, Israel: Israel Press, Limited, 1975), 88-90.</w:t>
      </w:r>
    </w:p>
  </w:footnote>
  <w:footnote w:id="156">
    <w:p w14:paraId="45E99740" w14:textId="77777777" w:rsidR="0025406B" w:rsidRDefault="0025406B">
      <w:pPr>
        <w:pStyle w:val="FootnoteText"/>
      </w:pPr>
      <w:r>
        <w:rPr>
          <w:rStyle w:val="FootnoteReference"/>
        </w:rPr>
        <w:footnoteRef/>
      </w:r>
      <w:r>
        <w:t xml:space="preserve"> Dunston M. Wai, </w:t>
      </w:r>
      <w:r>
        <w:rPr>
          <w:i/>
        </w:rPr>
        <w:t>The African-Arab Conflict in the</w:t>
      </w:r>
      <w:r w:rsidRPr="006A1023">
        <w:rPr>
          <w:i/>
        </w:rPr>
        <w:t xml:space="preserve"> Sudan</w:t>
      </w:r>
      <w:r>
        <w:t xml:space="preserve">, (New York: Africana Publishing Company, 1981) </w:t>
      </w:r>
      <w:r w:rsidRPr="006A1023">
        <w:t>112</w:t>
      </w:r>
      <w:r>
        <w:t>-113.</w:t>
      </w:r>
    </w:p>
  </w:footnote>
  <w:footnote w:id="157">
    <w:p w14:paraId="2D5C5169" w14:textId="77777777" w:rsidR="0025406B" w:rsidRDefault="0025406B">
      <w:pPr>
        <w:pStyle w:val="FootnoteText"/>
      </w:pPr>
      <w:r>
        <w:rPr>
          <w:rStyle w:val="FootnoteReference"/>
        </w:rPr>
        <w:footnoteRef/>
      </w:r>
      <w:r>
        <w:t xml:space="preserve"> Ibid. 113-114.</w:t>
      </w:r>
    </w:p>
  </w:footnote>
  <w:footnote w:id="158">
    <w:p w14:paraId="49ABF6D8" w14:textId="77777777" w:rsidR="0025406B" w:rsidRDefault="0025406B" w:rsidP="00C96FC6">
      <w:pPr>
        <w:pStyle w:val="FootnoteText"/>
      </w:pPr>
      <w:r>
        <w:rPr>
          <w:rStyle w:val="FootnoteReference"/>
        </w:rPr>
        <w:footnoteRef/>
      </w:r>
      <w:r>
        <w:t xml:space="preserve"> Scopas S. </w:t>
      </w:r>
      <w:proofErr w:type="spellStart"/>
      <w:r>
        <w:t>Poggo</w:t>
      </w:r>
      <w:proofErr w:type="spellEnd"/>
      <w:r>
        <w:t xml:space="preserve">, </w:t>
      </w:r>
      <w:r w:rsidRPr="000F128F">
        <w:rPr>
          <w:i/>
        </w:rPr>
        <w:t>The First Sudanese Civil War: Africans, Arabs, and Israelis in the Southern Sudan, 1955–1972</w:t>
      </w:r>
      <w:r>
        <w:t>, (New York: Palgrave McMillan, 2009), 126-128.</w:t>
      </w:r>
    </w:p>
  </w:footnote>
  <w:footnote w:id="159">
    <w:p w14:paraId="6529A42B" w14:textId="77777777" w:rsidR="0025406B" w:rsidRPr="001C23E9" w:rsidRDefault="0025406B">
      <w:pPr>
        <w:pStyle w:val="FootnoteText"/>
      </w:pPr>
      <w:r>
        <w:rPr>
          <w:rStyle w:val="FootnoteReference"/>
        </w:rPr>
        <w:footnoteRef/>
      </w:r>
      <w:r>
        <w:t xml:space="preserve"> Zachariah Cherian </w:t>
      </w:r>
      <w:proofErr w:type="spellStart"/>
      <w:r>
        <w:t>Mampilly</w:t>
      </w:r>
      <w:proofErr w:type="spellEnd"/>
      <w:r>
        <w:t xml:space="preserve">, </w:t>
      </w:r>
      <w:r>
        <w:rPr>
          <w:i/>
        </w:rPr>
        <w:t>Rebel Rulers: Insurgent Governance and Civilian Life During War</w:t>
      </w:r>
      <w:r>
        <w:t>, (Ithaca, NY: Cornell University Press, 2011),</w:t>
      </w:r>
      <w:r>
        <w:rPr>
          <w:i/>
        </w:rPr>
        <w:t xml:space="preserve"> </w:t>
      </w:r>
      <w:r>
        <w:t>135-136.</w:t>
      </w:r>
    </w:p>
  </w:footnote>
  <w:footnote w:id="160">
    <w:p w14:paraId="098BEE73" w14:textId="77777777" w:rsidR="0025406B" w:rsidRDefault="0025406B">
      <w:pPr>
        <w:pStyle w:val="FootnoteText"/>
      </w:pPr>
      <w:r>
        <w:rPr>
          <w:rStyle w:val="FootnoteReference"/>
        </w:rPr>
        <w:footnoteRef/>
      </w:r>
      <w:r>
        <w:t xml:space="preserve"> </w:t>
      </w:r>
      <w:r w:rsidRPr="00F428F3">
        <w:t xml:space="preserve">Cherry Leonardi, </w:t>
      </w:r>
      <w:r w:rsidRPr="00F428F3">
        <w:rPr>
          <w:i/>
        </w:rPr>
        <w:t>Dealing with Government in South Sudan: Histories of Chiefship, Community and State</w:t>
      </w:r>
      <w:r w:rsidRPr="00F428F3">
        <w:t xml:space="preserve">, </w:t>
      </w:r>
      <w:r>
        <w:t xml:space="preserve">(Rochester, NY: </w:t>
      </w:r>
      <w:r w:rsidRPr="00F428F3">
        <w:t>James Currey, 2013</w:t>
      </w:r>
      <w:r>
        <w:t>)</w:t>
      </w:r>
      <w:r w:rsidRPr="00F428F3">
        <w:t>,</w:t>
      </w:r>
      <w:r>
        <w:t xml:space="preserve"> 170.</w:t>
      </w:r>
    </w:p>
  </w:footnote>
  <w:footnote w:id="161">
    <w:p w14:paraId="584769AC" w14:textId="77777777" w:rsidR="0025406B" w:rsidRPr="00F428F3" w:rsidRDefault="0025406B">
      <w:pPr>
        <w:pStyle w:val="FootnoteText"/>
      </w:pPr>
      <w:r>
        <w:rPr>
          <w:rStyle w:val="FootnoteReference"/>
        </w:rPr>
        <w:footnoteRef/>
      </w:r>
      <w:r>
        <w:t xml:space="preserve"> </w:t>
      </w:r>
      <w:proofErr w:type="spellStart"/>
      <w:r>
        <w:t>Poggo</w:t>
      </w:r>
      <w:proofErr w:type="spellEnd"/>
      <w:r>
        <w:t xml:space="preserve">, </w:t>
      </w:r>
      <w:r>
        <w:rPr>
          <w:i/>
        </w:rPr>
        <w:t>The First Sudanese Civil War</w:t>
      </w:r>
      <w:r>
        <w:t>, 96-100</w:t>
      </w:r>
    </w:p>
  </w:footnote>
  <w:footnote w:id="162">
    <w:p w14:paraId="46ADD8A8" w14:textId="77777777" w:rsidR="0025406B" w:rsidRPr="00F428F3" w:rsidRDefault="0025406B">
      <w:pPr>
        <w:pStyle w:val="FootnoteText"/>
      </w:pPr>
      <w:r>
        <w:rPr>
          <w:rStyle w:val="FootnoteReference"/>
        </w:rPr>
        <w:footnoteRef/>
      </w:r>
      <w:r>
        <w:t xml:space="preserve"> Leonardi, </w:t>
      </w:r>
      <w:r>
        <w:rPr>
          <w:i/>
        </w:rPr>
        <w:t>Dealing with Government in South Sudan</w:t>
      </w:r>
      <w:r>
        <w:t>, 170.</w:t>
      </w:r>
    </w:p>
  </w:footnote>
  <w:footnote w:id="163">
    <w:p w14:paraId="793C3D3B" w14:textId="4D8D92CF" w:rsidR="003D3C3F" w:rsidRDefault="003D3C3F">
      <w:pPr>
        <w:pStyle w:val="FootnoteText"/>
      </w:pPr>
      <w:r>
        <w:rPr>
          <w:rStyle w:val="FootnoteReference"/>
        </w:rPr>
        <w:footnoteRef/>
      </w:r>
      <w:r>
        <w:t xml:space="preserve"> </w:t>
      </w:r>
      <w:r>
        <w:t xml:space="preserve">Elias </w:t>
      </w:r>
      <w:proofErr w:type="spellStart"/>
      <w:r>
        <w:t>Nyamlell</w:t>
      </w:r>
      <w:proofErr w:type="spellEnd"/>
      <w:r>
        <w:t xml:space="preserve"> </w:t>
      </w:r>
      <w:proofErr w:type="spellStart"/>
      <w:r>
        <w:t>Wakoson</w:t>
      </w:r>
      <w:proofErr w:type="spellEnd"/>
      <w:r>
        <w:t xml:space="preserve">, “The Origin and Development of the Anya-Nya Movement 1955-1972” in </w:t>
      </w:r>
      <w:r>
        <w:rPr>
          <w:i/>
        </w:rPr>
        <w:t>Southern Sudan: Regionalism &amp; Religion</w:t>
      </w:r>
      <w:r>
        <w:t xml:space="preserve"> edited by Mohamed Omer </w:t>
      </w:r>
      <w:proofErr w:type="spellStart"/>
      <w:r>
        <w:t>Beshir</w:t>
      </w:r>
      <w:proofErr w:type="spellEnd"/>
      <w:r>
        <w:t xml:space="preserve"> (Khartoum: Graduate College, University of Khartoum, 1984),</w:t>
      </w:r>
      <w:bookmarkStart w:id="1" w:name="_GoBack"/>
      <w:bookmarkEnd w:id="1"/>
      <w:r>
        <w:t xml:space="preserve"> 149-151.</w:t>
      </w:r>
    </w:p>
  </w:footnote>
  <w:footnote w:id="164">
    <w:p w14:paraId="165D7176" w14:textId="77777777" w:rsidR="0025406B" w:rsidRDefault="0025406B">
      <w:pPr>
        <w:pStyle w:val="FootnoteText"/>
      </w:pPr>
      <w:r>
        <w:rPr>
          <w:rStyle w:val="FootnoteReference"/>
        </w:rPr>
        <w:footnoteRef/>
      </w:r>
      <w:r>
        <w:t xml:space="preserve"> Edgar </w:t>
      </w:r>
      <w:proofErr w:type="spellStart"/>
      <w:r>
        <w:t>O’Balance</w:t>
      </w:r>
      <w:proofErr w:type="spellEnd"/>
      <w:r>
        <w:t xml:space="preserve">, </w:t>
      </w:r>
      <w:r>
        <w:rPr>
          <w:i/>
        </w:rPr>
        <w:t>The Secret War in the Sudan: 1955-1972</w:t>
      </w:r>
      <w:r>
        <w:t>, (Hamden, CT: Archon Books, 1977), 135-136.</w:t>
      </w:r>
    </w:p>
  </w:footnote>
  <w:footnote w:id="165">
    <w:p w14:paraId="19D679D6" w14:textId="77777777" w:rsidR="0025406B" w:rsidRPr="002069A9" w:rsidRDefault="0025406B" w:rsidP="00F428F3">
      <w:pPr>
        <w:pStyle w:val="FootnoteText"/>
      </w:pPr>
      <w:r>
        <w:rPr>
          <w:rStyle w:val="FootnoteReference"/>
        </w:rPr>
        <w:footnoteRef/>
      </w:r>
      <w:r>
        <w:t xml:space="preserve"> </w:t>
      </w:r>
      <w:proofErr w:type="spellStart"/>
      <w:r>
        <w:t>Poggo</w:t>
      </w:r>
      <w:proofErr w:type="spellEnd"/>
      <w:r>
        <w:t xml:space="preserve">, </w:t>
      </w:r>
      <w:r>
        <w:rPr>
          <w:i/>
        </w:rPr>
        <w:t>The First Sudanese Civil War</w:t>
      </w:r>
      <w:r>
        <w:t>, 89</w:t>
      </w:r>
    </w:p>
  </w:footnote>
  <w:footnote w:id="166">
    <w:p w14:paraId="540CC289" w14:textId="77777777" w:rsidR="0025406B" w:rsidRDefault="0025406B">
      <w:pPr>
        <w:pStyle w:val="FootnoteText"/>
      </w:pPr>
      <w:r>
        <w:rPr>
          <w:rStyle w:val="FootnoteReference"/>
        </w:rPr>
        <w:footnoteRef/>
      </w:r>
      <w:r>
        <w:t xml:space="preserve"> Ibid. 88-89.</w:t>
      </w:r>
    </w:p>
  </w:footnote>
  <w:footnote w:id="167">
    <w:p w14:paraId="088FD9AA" w14:textId="77777777" w:rsidR="0025406B" w:rsidRDefault="0025406B">
      <w:pPr>
        <w:pStyle w:val="FootnoteText"/>
      </w:pPr>
      <w:r>
        <w:rPr>
          <w:rStyle w:val="FootnoteReference"/>
        </w:rPr>
        <w:footnoteRef/>
      </w:r>
      <w:r>
        <w:t xml:space="preserve"> Matthew </w:t>
      </w:r>
      <w:proofErr w:type="spellStart"/>
      <w:r>
        <w:t>LeRiche</w:t>
      </w:r>
      <w:proofErr w:type="spellEnd"/>
      <w:r>
        <w:t xml:space="preserve"> and Matthew Arnold, </w:t>
      </w:r>
      <w:r>
        <w:rPr>
          <w:i/>
        </w:rPr>
        <w:t>South Sudan: From Revolution to Independence</w:t>
      </w:r>
      <w:r>
        <w:t>, (London, UK: Hurst &amp; Company, 2012), 26.</w:t>
      </w:r>
    </w:p>
  </w:footnote>
  <w:footnote w:id="168">
    <w:p w14:paraId="119E04B6" w14:textId="77777777" w:rsidR="0025406B" w:rsidRPr="00963B3E" w:rsidRDefault="0025406B">
      <w:pPr>
        <w:pStyle w:val="FootnoteText"/>
      </w:pPr>
      <w:r>
        <w:rPr>
          <w:rStyle w:val="FootnoteReference"/>
        </w:rPr>
        <w:footnoteRef/>
      </w:r>
      <w:r>
        <w:t xml:space="preserve"> Leonardi, </w:t>
      </w:r>
      <w:r>
        <w:rPr>
          <w:i/>
        </w:rPr>
        <w:t>Dealing with Government in South Sudan</w:t>
      </w:r>
      <w:r>
        <w:t>, 170-171.</w:t>
      </w:r>
    </w:p>
  </w:footnote>
  <w:footnote w:id="169">
    <w:p w14:paraId="76276533" w14:textId="77777777" w:rsidR="0025406B" w:rsidRPr="00342001" w:rsidRDefault="0025406B">
      <w:pPr>
        <w:pStyle w:val="FootnoteText"/>
      </w:pPr>
      <w:r>
        <w:rPr>
          <w:rStyle w:val="FootnoteReference"/>
        </w:rPr>
        <w:footnoteRef/>
      </w:r>
      <w:r>
        <w:t xml:space="preserve"> “Fall of Idi Amin,” </w:t>
      </w:r>
      <w:r>
        <w:rPr>
          <w:i/>
        </w:rPr>
        <w:t>Economic and Political Weekly</w:t>
      </w:r>
      <w:r>
        <w:t xml:space="preserve"> 14, No. 21 (1979), 907-910.</w:t>
      </w:r>
    </w:p>
  </w:footnote>
  <w:footnote w:id="170">
    <w:p w14:paraId="60624060" w14:textId="77777777" w:rsidR="0025406B" w:rsidRPr="000A4FB5" w:rsidRDefault="0025406B">
      <w:pPr>
        <w:pStyle w:val="FootnoteText"/>
      </w:pPr>
      <w:r>
        <w:rPr>
          <w:rStyle w:val="FootnoteReference"/>
        </w:rPr>
        <w:footnoteRef/>
      </w:r>
      <w:r>
        <w:t xml:space="preserve"> Richard </w:t>
      </w:r>
      <w:proofErr w:type="spellStart"/>
      <w:r>
        <w:t>Posnett</w:t>
      </w:r>
      <w:proofErr w:type="spellEnd"/>
      <w:r>
        <w:t xml:space="preserve">, “Uganda after Amin,” </w:t>
      </w:r>
      <w:r>
        <w:rPr>
          <w:i/>
        </w:rPr>
        <w:t>The World Today</w:t>
      </w:r>
      <w:r>
        <w:t xml:space="preserve"> 36, No. 4 (1980), 147-148.</w:t>
      </w:r>
    </w:p>
  </w:footnote>
  <w:footnote w:id="171">
    <w:p w14:paraId="344C7D9D" w14:textId="77777777" w:rsidR="0025406B" w:rsidRDefault="0025406B" w:rsidP="00B9046F">
      <w:pPr>
        <w:pStyle w:val="FootnoteText"/>
      </w:pPr>
      <w:r>
        <w:rPr>
          <w:rStyle w:val="FootnoteReference"/>
        </w:rPr>
        <w:footnoteRef/>
      </w:r>
      <w:r>
        <w:t xml:space="preserve"> Cherry </w:t>
      </w:r>
      <w:proofErr w:type="spellStart"/>
      <w:r>
        <w:t>Gertzel</w:t>
      </w:r>
      <w:proofErr w:type="spellEnd"/>
      <w:r>
        <w:t xml:space="preserve">, “Uganda after Amin: The Continuing Search for Leadership and Control,” </w:t>
      </w:r>
      <w:r>
        <w:rPr>
          <w:i/>
        </w:rPr>
        <w:t>African Affairs</w:t>
      </w:r>
      <w:r>
        <w:t xml:space="preserve"> 79, No. 317 (1980), 462-468.</w:t>
      </w:r>
    </w:p>
  </w:footnote>
  <w:footnote w:id="172">
    <w:p w14:paraId="757BC899" w14:textId="77777777" w:rsidR="0025406B" w:rsidRDefault="0025406B">
      <w:pPr>
        <w:pStyle w:val="FootnoteText"/>
      </w:pPr>
      <w:r>
        <w:rPr>
          <w:rStyle w:val="FootnoteReference"/>
        </w:rPr>
        <w:footnoteRef/>
      </w:r>
      <w:r>
        <w:t xml:space="preserve"> “Fall of Idi Amin,” 909.</w:t>
      </w:r>
    </w:p>
  </w:footnote>
  <w:footnote w:id="173">
    <w:p w14:paraId="28CB8A3F" w14:textId="77777777" w:rsidR="0025406B" w:rsidRDefault="0025406B">
      <w:pPr>
        <w:pStyle w:val="FootnoteText"/>
      </w:pPr>
      <w:r>
        <w:rPr>
          <w:rStyle w:val="FootnoteReference"/>
        </w:rPr>
        <w:footnoteRef/>
      </w:r>
      <w:r>
        <w:t xml:space="preserve"> Aidan </w:t>
      </w:r>
      <w:proofErr w:type="spellStart"/>
      <w:r>
        <w:t>Southall</w:t>
      </w:r>
      <w:proofErr w:type="spellEnd"/>
      <w:r>
        <w:t xml:space="preserve">, “Social Disorganization in Uganda: Before, during and after Amin,” </w:t>
      </w:r>
      <w:r>
        <w:rPr>
          <w:i/>
        </w:rPr>
        <w:t>The Journal of Modern African Studies</w:t>
      </w:r>
      <w:r>
        <w:t xml:space="preserve"> 18. No. 4 (1980), 629.</w:t>
      </w:r>
    </w:p>
  </w:footnote>
  <w:footnote w:id="174">
    <w:p w14:paraId="238365AF" w14:textId="77777777" w:rsidR="0025406B" w:rsidRDefault="0025406B">
      <w:pPr>
        <w:pStyle w:val="FootnoteText"/>
      </w:pPr>
      <w:r>
        <w:rPr>
          <w:rStyle w:val="FootnoteReference"/>
        </w:rPr>
        <w:footnoteRef/>
      </w:r>
      <w:r>
        <w:t xml:space="preserve"> </w:t>
      </w:r>
      <w:bookmarkStart w:id="2" w:name="_Hlk14000006"/>
      <w:r>
        <w:t xml:space="preserve">Michael Lee Lanning and Dan Cragg, </w:t>
      </w:r>
      <w:r>
        <w:rPr>
          <w:i/>
        </w:rPr>
        <w:t>Inside the VC and the NVA: The Real Story of North Vietnam’s Armed Forces</w:t>
      </w:r>
      <w:bookmarkEnd w:id="2"/>
      <w:r>
        <w:t>, (New York: Fawcett Columbine, 1992), 79-80.</w:t>
      </w:r>
    </w:p>
  </w:footnote>
  <w:footnote w:id="175">
    <w:p w14:paraId="02E0B967" w14:textId="77777777" w:rsidR="0025406B" w:rsidRDefault="0025406B">
      <w:pPr>
        <w:pStyle w:val="FootnoteText"/>
      </w:pPr>
      <w:r>
        <w:rPr>
          <w:rStyle w:val="FootnoteReference"/>
        </w:rPr>
        <w:footnoteRef/>
      </w:r>
      <w:r>
        <w:t xml:space="preserve"> Mark Atwood Lawrence, </w:t>
      </w:r>
      <w:r>
        <w:rPr>
          <w:i/>
        </w:rPr>
        <w:t>The Vietnam War: A Concise International History</w:t>
      </w:r>
      <w:r>
        <w:t xml:space="preserve"> (New York: Oxford University Press, 2008), 65.</w:t>
      </w:r>
    </w:p>
  </w:footnote>
  <w:footnote w:id="176">
    <w:p w14:paraId="02355B32" w14:textId="77777777" w:rsidR="0025406B" w:rsidRDefault="0025406B">
      <w:pPr>
        <w:pStyle w:val="FootnoteText"/>
      </w:pPr>
      <w:r>
        <w:rPr>
          <w:rStyle w:val="FootnoteReference"/>
        </w:rPr>
        <w:footnoteRef/>
      </w:r>
      <w:r>
        <w:t xml:space="preserve"> Christopher Paul, Colin P. Clarke, Beth Grill, and Molly </w:t>
      </w:r>
      <w:proofErr w:type="spellStart"/>
      <w:r>
        <w:t>Dunigan</w:t>
      </w:r>
      <w:proofErr w:type="spellEnd"/>
      <w:r>
        <w:t xml:space="preserve">, “South Vietnam 1960-1975: COIN Loss,” in </w:t>
      </w:r>
      <w:r>
        <w:rPr>
          <w:i/>
        </w:rPr>
        <w:t>Paths to Victory: Detailed Insurgency Case Studies</w:t>
      </w:r>
      <w:r>
        <w:t>. (Santa Monica, CA: RAND Corporation, 2013), 177-180.</w:t>
      </w:r>
    </w:p>
  </w:footnote>
  <w:footnote w:id="177">
    <w:p w14:paraId="53F8382D" w14:textId="77777777" w:rsidR="0025406B" w:rsidRDefault="0025406B">
      <w:pPr>
        <w:pStyle w:val="FootnoteText"/>
      </w:pPr>
      <w:r>
        <w:rPr>
          <w:rStyle w:val="FootnoteReference"/>
        </w:rPr>
        <w:footnoteRef/>
      </w:r>
      <w:r>
        <w:t xml:space="preserve"> Lesley Anne Warner, “Vietnam (1959-1972),” in </w:t>
      </w:r>
      <w:r>
        <w:rPr>
          <w:i/>
        </w:rPr>
        <w:t>Money in the Bank—Lessons Learned from Past Counterinsurgency (COIN)</w:t>
      </w:r>
      <w:r>
        <w:t xml:space="preserve">, edited by </w:t>
      </w:r>
      <w:r w:rsidRPr="007F7E4B">
        <w:t xml:space="preserve">Angel </w:t>
      </w:r>
      <w:proofErr w:type="spellStart"/>
      <w:r w:rsidRPr="007F7E4B">
        <w:t>Rabasa</w:t>
      </w:r>
      <w:proofErr w:type="spellEnd"/>
      <w:r w:rsidRPr="007F7E4B">
        <w:t xml:space="preserve">, Lesley Anne Warner, Peter Chalk, Ivan </w:t>
      </w:r>
      <w:proofErr w:type="spellStart"/>
      <w:r w:rsidRPr="007F7E4B">
        <w:t>Khilko</w:t>
      </w:r>
      <w:proofErr w:type="spellEnd"/>
      <w:r w:rsidRPr="007F7E4B">
        <w:t xml:space="preserve"> and </w:t>
      </w:r>
      <w:proofErr w:type="spellStart"/>
      <w:r w:rsidRPr="007F7E4B">
        <w:t>Paraag</w:t>
      </w:r>
      <w:proofErr w:type="spellEnd"/>
      <w:r w:rsidRPr="007F7E4B">
        <w:t xml:space="preserve"> Shukla</w:t>
      </w:r>
      <w:r>
        <w:t>. RAND Counterinsurgency Study—Paper 4, 2007,</w:t>
      </w:r>
      <w:r w:rsidRPr="007F7E4B">
        <w:t xml:space="preserve"> 30.</w:t>
      </w:r>
    </w:p>
  </w:footnote>
  <w:footnote w:id="178">
    <w:p w14:paraId="748FEADC" w14:textId="77777777" w:rsidR="0025406B" w:rsidRDefault="0025406B">
      <w:pPr>
        <w:pStyle w:val="FootnoteText"/>
      </w:pPr>
      <w:r>
        <w:rPr>
          <w:rStyle w:val="FootnoteReference"/>
        </w:rPr>
        <w:footnoteRef/>
      </w:r>
      <w:r>
        <w:t xml:space="preserve"> Ibid. 30-31.</w:t>
      </w:r>
    </w:p>
  </w:footnote>
  <w:footnote w:id="179">
    <w:p w14:paraId="5031EE49" w14:textId="77777777" w:rsidR="0025406B" w:rsidRDefault="0025406B">
      <w:pPr>
        <w:pStyle w:val="FootnoteText"/>
      </w:pPr>
      <w:r>
        <w:rPr>
          <w:rStyle w:val="FootnoteReference"/>
        </w:rPr>
        <w:footnoteRef/>
      </w:r>
      <w:r>
        <w:t xml:space="preserve"> William J. Duiker, </w:t>
      </w:r>
      <w:r>
        <w:rPr>
          <w:i/>
        </w:rPr>
        <w:t xml:space="preserve">The Communist Road to Power in </w:t>
      </w:r>
      <w:proofErr w:type="spellStart"/>
      <w:r>
        <w:rPr>
          <w:i/>
        </w:rPr>
        <w:t>Veitnam</w:t>
      </w:r>
      <w:proofErr w:type="spellEnd"/>
      <w:r>
        <w:rPr>
          <w:i/>
        </w:rPr>
        <w:t>, 2</w:t>
      </w:r>
      <w:r w:rsidRPr="002C7252">
        <w:rPr>
          <w:i/>
          <w:vertAlign w:val="superscript"/>
        </w:rPr>
        <w:t>nd</w:t>
      </w:r>
      <w:r>
        <w:rPr>
          <w:i/>
        </w:rPr>
        <w:t xml:space="preserve"> Edition </w:t>
      </w:r>
      <w:r>
        <w:t>(Boulder, CO: Westview Press, 1996), 232-233.</w:t>
      </w:r>
    </w:p>
  </w:footnote>
  <w:footnote w:id="180">
    <w:p w14:paraId="268F43CF" w14:textId="77777777" w:rsidR="0025406B" w:rsidRDefault="0025406B">
      <w:pPr>
        <w:pStyle w:val="FootnoteText"/>
      </w:pPr>
      <w:r>
        <w:rPr>
          <w:rStyle w:val="FootnoteReference"/>
        </w:rPr>
        <w:footnoteRef/>
      </w:r>
      <w:r>
        <w:t xml:space="preserve"> Douglas Pike, </w:t>
      </w:r>
      <w:r>
        <w:rPr>
          <w:i/>
        </w:rPr>
        <w:t>War, Peace, and the Viet Cong</w:t>
      </w:r>
      <w:r>
        <w:t xml:space="preserve"> (Cambridge, MA: The MIT Press, 1969), 62-63.</w:t>
      </w:r>
    </w:p>
  </w:footnote>
  <w:footnote w:id="181">
    <w:p w14:paraId="61291525" w14:textId="77777777" w:rsidR="0025406B" w:rsidRDefault="0025406B">
      <w:pPr>
        <w:pStyle w:val="FootnoteText"/>
      </w:pPr>
      <w:r>
        <w:rPr>
          <w:rStyle w:val="FootnoteReference"/>
        </w:rPr>
        <w:footnoteRef/>
      </w:r>
      <w:r>
        <w:t xml:space="preserve"> Warner, “Vietnam (1959-1972),” 31.</w:t>
      </w:r>
    </w:p>
  </w:footnote>
  <w:footnote w:id="182">
    <w:p w14:paraId="001D0815" w14:textId="77777777" w:rsidR="0025406B" w:rsidRDefault="0025406B">
      <w:pPr>
        <w:pStyle w:val="FootnoteText"/>
      </w:pPr>
      <w:r>
        <w:rPr>
          <w:rStyle w:val="FootnoteReference"/>
        </w:rPr>
        <w:footnoteRef/>
      </w:r>
      <w:r>
        <w:t xml:space="preserve"> Douglas Pike, </w:t>
      </w:r>
      <w:r>
        <w:rPr>
          <w:i/>
        </w:rPr>
        <w:t>Viet Cong: The Organization and Techniques of the National Liberation Front of South Vietnam</w:t>
      </w:r>
      <w:r>
        <w:t xml:space="preserve"> (Cambridge, MA: The MIT Press, 1966), 200-201.</w:t>
      </w:r>
    </w:p>
  </w:footnote>
  <w:footnote w:id="183">
    <w:p w14:paraId="74CBC6B9" w14:textId="77777777" w:rsidR="0025406B" w:rsidRDefault="0025406B">
      <w:pPr>
        <w:pStyle w:val="FootnoteText"/>
      </w:pPr>
      <w:r>
        <w:rPr>
          <w:rStyle w:val="FootnoteReference"/>
        </w:rPr>
        <w:footnoteRef/>
      </w:r>
      <w:r>
        <w:t xml:space="preserve"> George K. </w:t>
      </w:r>
      <w:proofErr w:type="spellStart"/>
      <w:r>
        <w:t>Tanham</w:t>
      </w:r>
      <w:proofErr w:type="spellEnd"/>
      <w:r>
        <w:t xml:space="preserve">, “The Communist Challenge in the Provinces,” </w:t>
      </w:r>
      <w:r>
        <w:rPr>
          <w:i/>
        </w:rPr>
        <w:t>Vietnam Perspectives</w:t>
      </w:r>
      <w:r>
        <w:t xml:space="preserve"> 1, No. 2 (1965), 7-8.</w:t>
      </w:r>
    </w:p>
  </w:footnote>
  <w:footnote w:id="184">
    <w:p w14:paraId="489390C8" w14:textId="77777777" w:rsidR="0025406B" w:rsidRPr="001734A6" w:rsidRDefault="0025406B">
      <w:pPr>
        <w:pStyle w:val="FootnoteText"/>
      </w:pPr>
      <w:r>
        <w:rPr>
          <w:rStyle w:val="FootnoteReference"/>
        </w:rPr>
        <w:footnoteRef/>
      </w:r>
      <w:r>
        <w:t xml:space="preserve"> Pike, </w:t>
      </w:r>
      <w:r>
        <w:rPr>
          <w:i/>
        </w:rPr>
        <w:t>Viet Cong</w:t>
      </w:r>
      <w:r>
        <w:t>, 294-295.</w:t>
      </w:r>
    </w:p>
  </w:footnote>
  <w:footnote w:id="185">
    <w:p w14:paraId="60262E55" w14:textId="77777777" w:rsidR="0025406B" w:rsidRDefault="0025406B">
      <w:pPr>
        <w:pStyle w:val="FootnoteText"/>
      </w:pPr>
      <w:r>
        <w:rPr>
          <w:rStyle w:val="FootnoteReference"/>
        </w:rPr>
        <w:footnoteRef/>
      </w:r>
      <w:r>
        <w:t xml:space="preserve"> Lanning and Cragg, </w:t>
      </w:r>
      <w:r>
        <w:rPr>
          <w:i/>
        </w:rPr>
        <w:t>Inside the VC and the NVA</w:t>
      </w:r>
      <w:r>
        <w:t>. 133-134.</w:t>
      </w:r>
    </w:p>
  </w:footnote>
  <w:footnote w:id="186">
    <w:p w14:paraId="33CC5F60" w14:textId="77777777" w:rsidR="0025406B" w:rsidRDefault="0025406B" w:rsidP="00CA5334">
      <w:pPr>
        <w:pStyle w:val="FootnoteText"/>
      </w:pPr>
      <w:r>
        <w:rPr>
          <w:rStyle w:val="FootnoteReference"/>
        </w:rPr>
        <w:footnoteRef/>
      </w:r>
      <w:r>
        <w:t xml:space="preserve"> Ibid. 63, 65.</w:t>
      </w:r>
    </w:p>
  </w:footnote>
  <w:footnote w:id="187">
    <w:p w14:paraId="4273C050" w14:textId="77777777" w:rsidR="0025406B" w:rsidRDefault="0025406B" w:rsidP="00CA5334">
      <w:pPr>
        <w:pStyle w:val="FootnoteText"/>
      </w:pPr>
      <w:r>
        <w:rPr>
          <w:rStyle w:val="FootnoteReference"/>
        </w:rPr>
        <w:footnoteRef/>
      </w:r>
      <w:r>
        <w:t xml:space="preserve"> </w:t>
      </w:r>
      <w:r w:rsidRPr="00DD7BAE">
        <w:t xml:space="preserve">Lanning and Cragg, </w:t>
      </w:r>
      <w:r w:rsidRPr="00DD7BAE">
        <w:rPr>
          <w:i/>
        </w:rPr>
        <w:t>Inside the VC and the NVA</w:t>
      </w:r>
      <w:r>
        <w:t>, 94-95.</w:t>
      </w:r>
    </w:p>
  </w:footnote>
  <w:footnote w:id="188">
    <w:p w14:paraId="6DA5A01E" w14:textId="77777777" w:rsidR="0025406B" w:rsidRDefault="0025406B">
      <w:pPr>
        <w:pStyle w:val="FootnoteText"/>
      </w:pPr>
      <w:r>
        <w:rPr>
          <w:rStyle w:val="FootnoteReference"/>
        </w:rPr>
        <w:footnoteRef/>
      </w:r>
      <w:r>
        <w:t xml:space="preserve"> Warner, “Vietnam (1959-1972),” 31.</w:t>
      </w:r>
    </w:p>
  </w:footnote>
  <w:footnote w:id="189">
    <w:p w14:paraId="05FC7DB0" w14:textId="77777777" w:rsidR="0025406B" w:rsidRDefault="0025406B">
      <w:pPr>
        <w:pStyle w:val="FootnoteText"/>
      </w:pPr>
      <w:r>
        <w:rPr>
          <w:rStyle w:val="FootnoteReference"/>
        </w:rPr>
        <w:footnoteRef/>
      </w:r>
      <w:r>
        <w:t xml:space="preserve"> Pike, </w:t>
      </w:r>
      <w:r>
        <w:rPr>
          <w:i/>
        </w:rPr>
        <w:t>War, Peace, and the Viet Cong</w:t>
      </w:r>
      <w:r>
        <w:t>, 6-8.</w:t>
      </w:r>
    </w:p>
  </w:footnote>
  <w:footnote w:id="190">
    <w:p w14:paraId="426E73DF" w14:textId="77777777" w:rsidR="0025406B" w:rsidRDefault="0025406B">
      <w:pPr>
        <w:pStyle w:val="FootnoteText"/>
      </w:pPr>
      <w:r>
        <w:rPr>
          <w:rStyle w:val="FootnoteReference"/>
        </w:rPr>
        <w:footnoteRef/>
      </w:r>
      <w:r>
        <w:t xml:space="preserve"> Pike, </w:t>
      </w:r>
      <w:r>
        <w:rPr>
          <w:i/>
        </w:rPr>
        <w:t>Viet Cong</w:t>
      </w:r>
      <w:r>
        <w:t>, 161.</w:t>
      </w:r>
    </w:p>
  </w:footnote>
  <w:footnote w:id="191">
    <w:p w14:paraId="22600EED" w14:textId="77777777" w:rsidR="0025406B" w:rsidRDefault="0025406B">
      <w:pPr>
        <w:pStyle w:val="FootnoteText"/>
      </w:pPr>
      <w:r>
        <w:rPr>
          <w:rStyle w:val="FootnoteReference"/>
        </w:rPr>
        <w:footnoteRef/>
      </w:r>
      <w:r>
        <w:t xml:space="preserve"> W. P. Davison, </w:t>
      </w:r>
      <w:r>
        <w:rPr>
          <w:i/>
        </w:rPr>
        <w:t>Some Observations on Viet Cong Operations in the Villages</w:t>
      </w:r>
      <w:r>
        <w:t>, (Santa Monica, CA: RAND Corporation, 1968), 140-145.</w:t>
      </w:r>
    </w:p>
  </w:footnote>
  <w:footnote w:id="192">
    <w:p w14:paraId="5A295690" w14:textId="77777777" w:rsidR="0025406B" w:rsidRPr="00DD7BAE" w:rsidRDefault="0025406B">
      <w:pPr>
        <w:pStyle w:val="FootnoteText"/>
      </w:pPr>
      <w:r>
        <w:rPr>
          <w:rStyle w:val="FootnoteReference"/>
        </w:rPr>
        <w:footnoteRef/>
      </w:r>
      <w:r>
        <w:t xml:space="preserve"> Lanning and Cragg, </w:t>
      </w:r>
      <w:r>
        <w:rPr>
          <w:i/>
        </w:rPr>
        <w:t>Inside the VC and the NVA</w:t>
      </w:r>
      <w:r>
        <w:t>, 140.</w:t>
      </w:r>
    </w:p>
  </w:footnote>
  <w:footnote w:id="193">
    <w:p w14:paraId="7EEAC28D" w14:textId="77777777" w:rsidR="0025406B" w:rsidRPr="00A53A9A" w:rsidRDefault="0025406B">
      <w:pPr>
        <w:pStyle w:val="FootnoteText"/>
      </w:pPr>
      <w:r>
        <w:rPr>
          <w:rStyle w:val="FootnoteReference"/>
        </w:rPr>
        <w:footnoteRef/>
      </w:r>
      <w:r>
        <w:t xml:space="preserve"> Joseph J. Malone, “The Yemen Arab Republic’s ‘Game of Nations,’” </w:t>
      </w:r>
      <w:r>
        <w:rPr>
          <w:i/>
        </w:rPr>
        <w:t>The World Today</w:t>
      </w:r>
      <w:r>
        <w:t xml:space="preserve"> 27, No. 12 (1971), 541-542.</w:t>
      </w:r>
    </w:p>
  </w:footnote>
  <w:footnote w:id="194">
    <w:p w14:paraId="0F369F2D" w14:textId="77777777" w:rsidR="0025406B" w:rsidRDefault="0025406B">
      <w:pPr>
        <w:pStyle w:val="FootnoteText"/>
      </w:pPr>
      <w:r>
        <w:rPr>
          <w:rStyle w:val="FootnoteReference"/>
        </w:rPr>
        <w:footnoteRef/>
      </w:r>
      <w:r>
        <w:t xml:space="preserve"> Christopher Paul, Colin P Clarke, Beth Grill, and Molly </w:t>
      </w:r>
      <w:proofErr w:type="spellStart"/>
      <w:r>
        <w:t>Dunigan</w:t>
      </w:r>
      <w:proofErr w:type="spellEnd"/>
      <w:r>
        <w:t xml:space="preserve">, “Yemen, 1962-1970 Case Outcome: COIN Loss,” in </w:t>
      </w:r>
      <w:r>
        <w:rPr>
          <w:i/>
        </w:rPr>
        <w:t>Paths to Victory: Detailed Insurgency Case Studies</w:t>
      </w:r>
      <w:r>
        <w:t xml:space="preserve"> (Santa Monica, CA: RAND Corporation, 2013), 250-263.</w:t>
      </w:r>
    </w:p>
  </w:footnote>
  <w:footnote w:id="195">
    <w:p w14:paraId="3D852FE1" w14:textId="77777777" w:rsidR="0025406B" w:rsidRDefault="0025406B">
      <w:pPr>
        <w:pStyle w:val="FootnoteText"/>
      </w:pPr>
      <w:r>
        <w:rPr>
          <w:rStyle w:val="FootnoteReference"/>
        </w:rPr>
        <w:footnoteRef/>
      </w:r>
      <w:r>
        <w:t xml:space="preserve"> Ibid. 262</w:t>
      </w:r>
    </w:p>
  </w:footnote>
  <w:footnote w:id="196">
    <w:p w14:paraId="398A9CDC" w14:textId="77777777" w:rsidR="0025406B" w:rsidRDefault="0025406B">
      <w:pPr>
        <w:pStyle w:val="FootnoteText"/>
      </w:pPr>
      <w:r>
        <w:rPr>
          <w:rStyle w:val="FootnoteReference"/>
        </w:rPr>
        <w:footnoteRef/>
      </w:r>
      <w:r>
        <w:t xml:space="preserve"> </w:t>
      </w:r>
      <w:proofErr w:type="spellStart"/>
      <w:r>
        <w:t>Reyko</w:t>
      </w:r>
      <w:proofErr w:type="spellEnd"/>
      <w:r>
        <w:t xml:space="preserve"> </w:t>
      </w:r>
      <w:r w:rsidRPr="005A3FC6">
        <w:t xml:space="preserve">Huang. 2016. </w:t>
      </w:r>
      <w:r>
        <w:t>“</w:t>
      </w:r>
      <w:r w:rsidRPr="005A3FC6">
        <w:t>Rebel Governance Dataset Coding Notes</w:t>
      </w:r>
      <w:r>
        <w:t>,”</w:t>
      </w:r>
      <w:r w:rsidRPr="005A3FC6">
        <w:t xml:space="preserve"> accessed February 25, 2018, </w:t>
      </w:r>
      <w:hyperlink r:id="rId2" w:history="1">
        <w:r w:rsidRPr="007242A1">
          <w:rPr>
            <w:rStyle w:val="Hyperlink"/>
          </w:rPr>
          <w:t>http://www.reykohuang.com/uploads/7/7/5/9/77594542/rgd.zip</w:t>
        </w:r>
      </w:hyperlink>
      <w:r w:rsidRPr="005A3FC6">
        <w:t>.</w:t>
      </w:r>
      <w:r>
        <w:t>, 146-147.</w:t>
      </w:r>
    </w:p>
  </w:footnote>
  <w:footnote w:id="197">
    <w:p w14:paraId="15B080C3" w14:textId="77777777" w:rsidR="0025406B" w:rsidRDefault="0025406B">
      <w:pPr>
        <w:pStyle w:val="FootnoteText"/>
      </w:pPr>
      <w:r>
        <w:rPr>
          <w:rStyle w:val="FootnoteReference"/>
        </w:rPr>
        <w:footnoteRef/>
      </w:r>
      <w:r>
        <w:t xml:space="preserve"> Bonnie Campbell, “Report on the Zimbabwe Elections February 1980,” </w:t>
      </w:r>
      <w:r>
        <w:rPr>
          <w:i/>
        </w:rPr>
        <w:t xml:space="preserve">International </w:t>
      </w:r>
      <w:r w:rsidRPr="0078673B">
        <w:rPr>
          <w:i/>
        </w:rPr>
        <w:t>Journal</w:t>
      </w:r>
      <w:r>
        <w:t xml:space="preserve"> 35, No. 4 (1980), </w:t>
      </w:r>
      <w:r w:rsidRPr="0078673B">
        <w:t>70</w:t>
      </w:r>
      <w:r>
        <w:t>3-705</w:t>
      </w:r>
    </w:p>
  </w:footnote>
  <w:footnote w:id="198">
    <w:p w14:paraId="2F486E57" w14:textId="77777777" w:rsidR="0025406B" w:rsidRDefault="0025406B">
      <w:pPr>
        <w:pStyle w:val="FootnoteText"/>
      </w:pPr>
      <w:r>
        <w:rPr>
          <w:rStyle w:val="FootnoteReference"/>
        </w:rPr>
        <w:footnoteRef/>
      </w:r>
      <w:r>
        <w:t xml:space="preserve"> Ibid. 703</w:t>
      </w:r>
    </w:p>
  </w:footnote>
  <w:footnote w:id="199">
    <w:p w14:paraId="08BDCD9C" w14:textId="77777777" w:rsidR="0025406B" w:rsidRDefault="0025406B">
      <w:pPr>
        <w:pStyle w:val="FootnoteText"/>
      </w:pPr>
      <w:r>
        <w:rPr>
          <w:rStyle w:val="FootnoteReference"/>
        </w:rPr>
        <w:footnoteRef/>
      </w:r>
      <w:r>
        <w:t xml:space="preserve"> Some sources refer to these as concentration camps (see: ibid. 703-704).</w:t>
      </w:r>
    </w:p>
  </w:footnote>
  <w:footnote w:id="200">
    <w:p w14:paraId="74859084" w14:textId="77777777" w:rsidR="0025406B" w:rsidRDefault="0025406B">
      <w:pPr>
        <w:pStyle w:val="FootnoteText"/>
      </w:pPr>
      <w:r>
        <w:rPr>
          <w:rStyle w:val="FootnoteReference"/>
        </w:rPr>
        <w:footnoteRef/>
      </w:r>
      <w:r>
        <w:t xml:space="preserve"> A. K. H. Weinrich, “Strategic Resettlement in Rhodesia,” </w:t>
      </w:r>
      <w:r>
        <w:rPr>
          <w:i/>
        </w:rPr>
        <w:t xml:space="preserve">Journal of Southern African </w:t>
      </w:r>
      <w:r w:rsidRPr="00AC30CE">
        <w:rPr>
          <w:i/>
        </w:rPr>
        <w:t>Studies</w:t>
      </w:r>
      <w:r>
        <w:t xml:space="preserve"> 3, No. 2 (1977), </w:t>
      </w:r>
      <w:r w:rsidRPr="00AC30CE">
        <w:t>208</w:t>
      </w:r>
      <w:r>
        <w:t>-216</w:t>
      </w:r>
    </w:p>
  </w:footnote>
  <w:footnote w:id="201">
    <w:p w14:paraId="430616A8" w14:textId="77777777" w:rsidR="0025406B" w:rsidRDefault="0025406B">
      <w:pPr>
        <w:pStyle w:val="FootnoteText"/>
      </w:pPr>
      <w:r>
        <w:rPr>
          <w:rStyle w:val="FootnoteReference"/>
        </w:rPr>
        <w:footnoteRef/>
      </w:r>
      <w:r>
        <w:t xml:space="preserve"> </w:t>
      </w:r>
      <w:r w:rsidRPr="00AC30CE">
        <w:t xml:space="preserve">K. </w:t>
      </w:r>
      <w:proofErr w:type="spellStart"/>
      <w:r w:rsidRPr="00AC30CE">
        <w:t>Nyamayaro</w:t>
      </w:r>
      <w:proofErr w:type="spellEnd"/>
      <w:r w:rsidRPr="00AC30CE">
        <w:t xml:space="preserve"> </w:t>
      </w:r>
      <w:proofErr w:type="spellStart"/>
      <w:r w:rsidRPr="00AC30CE">
        <w:t>Mufuka</w:t>
      </w:r>
      <w:proofErr w:type="spellEnd"/>
      <w:r>
        <w:t xml:space="preserve">, “Rhodesia’s Internal Settlement: A Tragedy,” </w:t>
      </w:r>
      <w:r>
        <w:rPr>
          <w:i/>
        </w:rPr>
        <w:t>African Affairs</w:t>
      </w:r>
      <w:r>
        <w:t xml:space="preserve"> 78, No. 313 (1979), 445-446</w:t>
      </w:r>
    </w:p>
  </w:footnote>
  <w:footnote w:id="202">
    <w:p w14:paraId="5BA00ADD" w14:textId="77777777" w:rsidR="0025406B" w:rsidRDefault="0025406B">
      <w:pPr>
        <w:pStyle w:val="FootnoteText"/>
      </w:pPr>
      <w:r>
        <w:rPr>
          <w:rStyle w:val="FootnoteReference"/>
        </w:rPr>
        <w:footnoteRef/>
      </w:r>
      <w:r>
        <w:t xml:space="preserve"> Christopher Paul, Colin P Clarke, Beth Grill, and Molly </w:t>
      </w:r>
      <w:proofErr w:type="spellStart"/>
      <w:r>
        <w:t>Dunigan</w:t>
      </w:r>
      <w:proofErr w:type="spellEnd"/>
      <w:r>
        <w:t xml:space="preserve">, “Zimbabwe/Rhodesia, 1965-1980 Case Outcome: COIN Loss,” in </w:t>
      </w:r>
      <w:r>
        <w:rPr>
          <w:i/>
        </w:rPr>
        <w:t>Paths to Victory: Detailed Insurgency Case Studies</w:t>
      </w:r>
      <w:r>
        <w:t xml:space="preserve"> (Santa Monica, CA: RAND Corporation, 2013), 291.</w:t>
      </w:r>
    </w:p>
  </w:footnote>
  <w:footnote w:id="203">
    <w:p w14:paraId="25CDA657" w14:textId="77777777" w:rsidR="0025406B" w:rsidRDefault="0025406B" w:rsidP="00BF1547">
      <w:pPr>
        <w:pStyle w:val="FootnoteText"/>
      </w:pPr>
      <w:r>
        <w:rPr>
          <w:rStyle w:val="FootnoteReference"/>
        </w:rPr>
        <w:footnoteRef/>
      </w:r>
      <w:r>
        <w:t xml:space="preserve"> Fay Chung, “Education and the Liberation Struggle,” in </w:t>
      </w:r>
      <w:r>
        <w:rPr>
          <w:i/>
        </w:rPr>
        <w:t>Society in Zimbabwe’s Liberation War</w:t>
      </w:r>
      <w:r>
        <w:t xml:space="preserve">, edited by </w:t>
      </w:r>
      <w:proofErr w:type="spellStart"/>
      <w:r>
        <w:t>Ngwabi</w:t>
      </w:r>
      <w:proofErr w:type="spellEnd"/>
      <w:r>
        <w:t xml:space="preserve"> </w:t>
      </w:r>
      <w:proofErr w:type="spellStart"/>
      <w:r>
        <w:t>Bhere</w:t>
      </w:r>
      <w:proofErr w:type="spellEnd"/>
      <w:r>
        <w:t xml:space="preserve"> &amp; Terence Ranger (Oxford, UK: James Currey Limited, 1996), 139-146.</w:t>
      </w:r>
    </w:p>
  </w:footnote>
  <w:footnote w:id="204">
    <w:p w14:paraId="5D731A37" w14:textId="77777777" w:rsidR="0025406B" w:rsidRDefault="0025406B">
      <w:pPr>
        <w:pStyle w:val="FootnoteText"/>
      </w:pPr>
      <w:r>
        <w:rPr>
          <w:rStyle w:val="FootnoteReference"/>
        </w:rPr>
        <w:footnoteRef/>
      </w:r>
      <w:r>
        <w:t xml:space="preserve"> </w:t>
      </w:r>
      <w:proofErr w:type="spellStart"/>
      <w:r>
        <w:t>Paulos</w:t>
      </w:r>
      <w:proofErr w:type="spellEnd"/>
      <w:r>
        <w:t xml:space="preserve"> </w:t>
      </w:r>
      <w:proofErr w:type="spellStart"/>
      <w:r>
        <w:t>Matjaka</w:t>
      </w:r>
      <w:proofErr w:type="spellEnd"/>
      <w:r>
        <w:t xml:space="preserve"> </w:t>
      </w:r>
      <w:proofErr w:type="spellStart"/>
      <w:r>
        <w:t>Nare</w:t>
      </w:r>
      <w:proofErr w:type="spellEnd"/>
      <w:r>
        <w:t xml:space="preserve">, “Education and the War,” in </w:t>
      </w:r>
      <w:r>
        <w:rPr>
          <w:i/>
        </w:rPr>
        <w:t>Society in Zimbabwe’s Liberation War</w:t>
      </w:r>
      <w:r>
        <w:t xml:space="preserve">, edited by </w:t>
      </w:r>
      <w:proofErr w:type="spellStart"/>
      <w:r>
        <w:t>Ngwabi</w:t>
      </w:r>
      <w:proofErr w:type="spellEnd"/>
      <w:r>
        <w:t xml:space="preserve"> </w:t>
      </w:r>
      <w:proofErr w:type="spellStart"/>
      <w:r>
        <w:t>Bhere</w:t>
      </w:r>
      <w:proofErr w:type="spellEnd"/>
      <w:r>
        <w:t xml:space="preserve"> &amp; Terence Ranger (Oxford, UK: James Currey Limited, 1996), 130-138.</w:t>
      </w:r>
    </w:p>
  </w:footnote>
  <w:footnote w:id="205">
    <w:p w14:paraId="23C19C2E" w14:textId="77777777" w:rsidR="0025406B" w:rsidRDefault="0025406B" w:rsidP="00783BB7">
      <w:pPr>
        <w:pStyle w:val="FootnoteText"/>
      </w:pPr>
      <w:r>
        <w:rPr>
          <w:rStyle w:val="FootnoteReference"/>
        </w:rPr>
        <w:footnoteRef/>
      </w:r>
      <w:r>
        <w:t xml:space="preserve"> Fay Chung, </w:t>
      </w:r>
      <w:r w:rsidRPr="00783BB7">
        <w:rPr>
          <w:i/>
        </w:rPr>
        <w:t>Re-Living the Second Chimurenga: Memories from the Liberation Struggle in Zimbabwe</w:t>
      </w:r>
      <w:r>
        <w:t>. (Uppsala, Sweden: Nordic Africa Institute, 2006), 203-206.</w:t>
      </w:r>
    </w:p>
  </w:footnote>
  <w:footnote w:id="206">
    <w:p w14:paraId="55914F46" w14:textId="77777777" w:rsidR="0025406B" w:rsidRDefault="0025406B">
      <w:pPr>
        <w:pStyle w:val="FootnoteText"/>
      </w:pPr>
      <w:r>
        <w:rPr>
          <w:rStyle w:val="FootnoteReference"/>
        </w:rPr>
        <w:footnoteRef/>
      </w:r>
      <w:r>
        <w:t xml:space="preserve"> Ibid. 126-127</w:t>
      </w:r>
    </w:p>
  </w:footnote>
  <w:footnote w:id="207">
    <w:p w14:paraId="429B23F8" w14:textId="77777777" w:rsidR="0025406B" w:rsidRDefault="0025406B">
      <w:pPr>
        <w:pStyle w:val="FootnoteText"/>
      </w:pPr>
      <w:r>
        <w:rPr>
          <w:rStyle w:val="FootnoteReference"/>
        </w:rPr>
        <w:footnoteRef/>
      </w:r>
      <w:r>
        <w:t xml:space="preserve"> Norma </w:t>
      </w:r>
      <w:proofErr w:type="spellStart"/>
      <w:r>
        <w:t>Kriger</w:t>
      </w:r>
      <w:proofErr w:type="spellEnd"/>
      <w:r>
        <w:t xml:space="preserve">, </w:t>
      </w:r>
      <w:r w:rsidRPr="00783BB7">
        <w:rPr>
          <w:i/>
        </w:rPr>
        <w:t>Zimbabwe's Guerrilla War: Peasant Voices</w:t>
      </w:r>
      <w:r>
        <w:t>. (Cambridge: Cambridge University Press, 1992), 118.</w:t>
      </w:r>
    </w:p>
  </w:footnote>
  <w:footnote w:id="208">
    <w:p w14:paraId="0BF540EF" w14:textId="46CA7182" w:rsidR="0025406B" w:rsidRDefault="0025406B">
      <w:pPr>
        <w:pStyle w:val="FootnoteText"/>
      </w:pPr>
      <w:r>
        <w:rPr>
          <w:rStyle w:val="FootnoteReference"/>
        </w:rPr>
        <w:footnoteRef/>
      </w:r>
      <w:r>
        <w:t xml:space="preserve"> Andrew </w:t>
      </w:r>
      <w:proofErr w:type="spellStart"/>
      <w:r>
        <w:t>Ladley</w:t>
      </w:r>
      <w:proofErr w:type="spellEnd"/>
      <w:r>
        <w:t xml:space="preserve">, “Changing the Courts in Zimbabwe: The Customary Law and Primary Courts Act,” </w:t>
      </w:r>
      <w:r>
        <w:rPr>
          <w:i/>
        </w:rPr>
        <w:t>Journal of African Law</w:t>
      </w:r>
      <w:r>
        <w:t xml:space="preserve"> 26, No. 2 (1982), 101.</w:t>
      </w:r>
    </w:p>
  </w:footnote>
  <w:footnote w:id="209">
    <w:p w14:paraId="5AF76E8C" w14:textId="4FBF3558" w:rsidR="0025406B" w:rsidRDefault="0025406B">
      <w:pPr>
        <w:pStyle w:val="FootnoteText"/>
      </w:pPr>
      <w:r>
        <w:rPr>
          <w:rStyle w:val="FootnoteReference"/>
        </w:rPr>
        <w:footnoteRef/>
      </w:r>
      <w:r>
        <w:t xml:space="preserve"> </w:t>
      </w:r>
      <w:proofErr w:type="spellStart"/>
      <w:r>
        <w:t>Kriger</w:t>
      </w:r>
      <w:proofErr w:type="spellEnd"/>
      <w:r>
        <w:t xml:space="preserve">, </w:t>
      </w:r>
      <w:r>
        <w:rPr>
          <w:i/>
        </w:rPr>
        <w:t>Zimbabwe’s Guerilla War</w:t>
      </w:r>
      <w:r>
        <w:t>, 116-120, 149-150.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F0"/>
    <w:rsid w:val="000118D0"/>
    <w:rsid w:val="000258A2"/>
    <w:rsid w:val="000408B4"/>
    <w:rsid w:val="00040920"/>
    <w:rsid w:val="00043910"/>
    <w:rsid w:val="00043E42"/>
    <w:rsid w:val="000559EC"/>
    <w:rsid w:val="00062C4A"/>
    <w:rsid w:val="00066F08"/>
    <w:rsid w:val="00091F1C"/>
    <w:rsid w:val="000A054B"/>
    <w:rsid w:val="000A4FB5"/>
    <w:rsid w:val="000B323B"/>
    <w:rsid w:val="000C12AE"/>
    <w:rsid w:val="000C1EA2"/>
    <w:rsid w:val="000C228A"/>
    <w:rsid w:val="000C74E5"/>
    <w:rsid w:val="000D1114"/>
    <w:rsid w:val="000E20F4"/>
    <w:rsid w:val="000F128F"/>
    <w:rsid w:val="00102B23"/>
    <w:rsid w:val="0010578C"/>
    <w:rsid w:val="00105F00"/>
    <w:rsid w:val="00125AB0"/>
    <w:rsid w:val="00131A58"/>
    <w:rsid w:val="00143165"/>
    <w:rsid w:val="00152B59"/>
    <w:rsid w:val="00156C41"/>
    <w:rsid w:val="001668AF"/>
    <w:rsid w:val="00171978"/>
    <w:rsid w:val="00172047"/>
    <w:rsid w:val="001734A6"/>
    <w:rsid w:val="001760C9"/>
    <w:rsid w:val="001769E0"/>
    <w:rsid w:val="00180A47"/>
    <w:rsid w:val="001854EB"/>
    <w:rsid w:val="001924F9"/>
    <w:rsid w:val="001A0C6D"/>
    <w:rsid w:val="001A2614"/>
    <w:rsid w:val="001A45C5"/>
    <w:rsid w:val="001C0045"/>
    <w:rsid w:val="001C23E9"/>
    <w:rsid w:val="001C37AF"/>
    <w:rsid w:val="001C3E6D"/>
    <w:rsid w:val="001C530D"/>
    <w:rsid w:val="001C60B6"/>
    <w:rsid w:val="001D08EF"/>
    <w:rsid w:val="001E2DB1"/>
    <w:rsid w:val="001F776E"/>
    <w:rsid w:val="002069A9"/>
    <w:rsid w:val="002103C5"/>
    <w:rsid w:val="00233467"/>
    <w:rsid w:val="002364E2"/>
    <w:rsid w:val="0023720F"/>
    <w:rsid w:val="0024078D"/>
    <w:rsid w:val="00240837"/>
    <w:rsid w:val="00240982"/>
    <w:rsid w:val="00250B9E"/>
    <w:rsid w:val="0025406B"/>
    <w:rsid w:val="00263562"/>
    <w:rsid w:val="00270DAF"/>
    <w:rsid w:val="002743A4"/>
    <w:rsid w:val="0029434C"/>
    <w:rsid w:val="00294AC8"/>
    <w:rsid w:val="002B19AA"/>
    <w:rsid w:val="002B410F"/>
    <w:rsid w:val="002C7252"/>
    <w:rsid w:val="002D5BC4"/>
    <w:rsid w:val="002E42FF"/>
    <w:rsid w:val="002E6EDE"/>
    <w:rsid w:val="002F150A"/>
    <w:rsid w:val="002F64E6"/>
    <w:rsid w:val="00315628"/>
    <w:rsid w:val="00323550"/>
    <w:rsid w:val="00327610"/>
    <w:rsid w:val="00337EF1"/>
    <w:rsid w:val="00342001"/>
    <w:rsid w:val="00352E94"/>
    <w:rsid w:val="003558B6"/>
    <w:rsid w:val="00360CBE"/>
    <w:rsid w:val="00362FA8"/>
    <w:rsid w:val="00364796"/>
    <w:rsid w:val="00365D42"/>
    <w:rsid w:val="003719F9"/>
    <w:rsid w:val="00372EC8"/>
    <w:rsid w:val="003753E9"/>
    <w:rsid w:val="0037570D"/>
    <w:rsid w:val="003802F5"/>
    <w:rsid w:val="0038175B"/>
    <w:rsid w:val="00397ACF"/>
    <w:rsid w:val="003B0E3B"/>
    <w:rsid w:val="003B44EE"/>
    <w:rsid w:val="003C0552"/>
    <w:rsid w:val="003C6E62"/>
    <w:rsid w:val="003D3B44"/>
    <w:rsid w:val="003D3C3F"/>
    <w:rsid w:val="003D3E2D"/>
    <w:rsid w:val="003E19D3"/>
    <w:rsid w:val="003E5959"/>
    <w:rsid w:val="00402065"/>
    <w:rsid w:val="00414993"/>
    <w:rsid w:val="00414A6C"/>
    <w:rsid w:val="004217D3"/>
    <w:rsid w:val="00425B30"/>
    <w:rsid w:val="0042760F"/>
    <w:rsid w:val="0044748D"/>
    <w:rsid w:val="00457780"/>
    <w:rsid w:val="00462E4C"/>
    <w:rsid w:val="00463CA1"/>
    <w:rsid w:val="00466977"/>
    <w:rsid w:val="00477340"/>
    <w:rsid w:val="00484396"/>
    <w:rsid w:val="00485E6B"/>
    <w:rsid w:val="00491410"/>
    <w:rsid w:val="004A0128"/>
    <w:rsid w:val="004B0680"/>
    <w:rsid w:val="004B14C4"/>
    <w:rsid w:val="004B1C43"/>
    <w:rsid w:val="004B6516"/>
    <w:rsid w:val="004C6B81"/>
    <w:rsid w:val="004C700A"/>
    <w:rsid w:val="004D2E7E"/>
    <w:rsid w:val="004D4533"/>
    <w:rsid w:val="004D6989"/>
    <w:rsid w:val="004D7B34"/>
    <w:rsid w:val="004F0EE6"/>
    <w:rsid w:val="004F5BF8"/>
    <w:rsid w:val="004F75B3"/>
    <w:rsid w:val="00507DE3"/>
    <w:rsid w:val="00515D50"/>
    <w:rsid w:val="005232B2"/>
    <w:rsid w:val="0054390C"/>
    <w:rsid w:val="00546471"/>
    <w:rsid w:val="005469D0"/>
    <w:rsid w:val="005619DF"/>
    <w:rsid w:val="00566F6C"/>
    <w:rsid w:val="00573FEC"/>
    <w:rsid w:val="00577B9D"/>
    <w:rsid w:val="0058329B"/>
    <w:rsid w:val="00584BA7"/>
    <w:rsid w:val="00584D1C"/>
    <w:rsid w:val="00590002"/>
    <w:rsid w:val="005942C3"/>
    <w:rsid w:val="005A39DB"/>
    <w:rsid w:val="005A3FC6"/>
    <w:rsid w:val="005A7C60"/>
    <w:rsid w:val="005B306C"/>
    <w:rsid w:val="005B575D"/>
    <w:rsid w:val="005C1A99"/>
    <w:rsid w:val="005C1C45"/>
    <w:rsid w:val="005C58E1"/>
    <w:rsid w:val="005C5A84"/>
    <w:rsid w:val="005D1361"/>
    <w:rsid w:val="005E236A"/>
    <w:rsid w:val="005E5E13"/>
    <w:rsid w:val="005F2556"/>
    <w:rsid w:val="005F416A"/>
    <w:rsid w:val="00601987"/>
    <w:rsid w:val="006046A9"/>
    <w:rsid w:val="00607636"/>
    <w:rsid w:val="00614942"/>
    <w:rsid w:val="00620BDE"/>
    <w:rsid w:val="00621857"/>
    <w:rsid w:val="00623B67"/>
    <w:rsid w:val="00624A72"/>
    <w:rsid w:val="00626127"/>
    <w:rsid w:val="00627220"/>
    <w:rsid w:val="0063196A"/>
    <w:rsid w:val="006514B1"/>
    <w:rsid w:val="00651541"/>
    <w:rsid w:val="00654573"/>
    <w:rsid w:val="006611C2"/>
    <w:rsid w:val="00664693"/>
    <w:rsid w:val="00666620"/>
    <w:rsid w:val="006703F0"/>
    <w:rsid w:val="00676EE6"/>
    <w:rsid w:val="00687544"/>
    <w:rsid w:val="00690CC4"/>
    <w:rsid w:val="006919F6"/>
    <w:rsid w:val="00692884"/>
    <w:rsid w:val="00692DD5"/>
    <w:rsid w:val="00695E16"/>
    <w:rsid w:val="006961C5"/>
    <w:rsid w:val="00697092"/>
    <w:rsid w:val="006A033F"/>
    <w:rsid w:val="006A1023"/>
    <w:rsid w:val="006B12AE"/>
    <w:rsid w:val="006B41E3"/>
    <w:rsid w:val="006C0C7A"/>
    <w:rsid w:val="006C1697"/>
    <w:rsid w:val="006D7B36"/>
    <w:rsid w:val="006F2253"/>
    <w:rsid w:val="006F768D"/>
    <w:rsid w:val="0071193F"/>
    <w:rsid w:val="007136F7"/>
    <w:rsid w:val="00715A04"/>
    <w:rsid w:val="0073637C"/>
    <w:rsid w:val="007363E0"/>
    <w:rsid w:val="00741AF0"/>
    <w:rsid w:val="00766E5D"/>
    <w:rsid w:val="0077195B"/>
    <w:rsid w:val="0077317D"/>
    <w:rsid w:val="00783BB7"/>
    <w:rsid w:val="0078673B"/>
    <w:rsid w:val="0079730A"/>
    <w:rsid w:val="00797B4A"/>
    <w:rsid w:val="00797BD6"/>
    <w:rsid w:val="007A0AF2"/>
    <w:rsid w:val="007A366E"/>
    <w:rsid w:val="007A39C2"/>
    <w:rsid w:val="007A4479"/>
    <w:rsid w:val="007A5A0B"/>
    <w:rsid w:val="007A795E"/>
    <w:rsid w:val="007B4CCC"/>
    <w:rsid w:val="007B77B4"/>
    <w:rsid w:val="007C0795"/>
    <w:rsid w:val="007C6A50"/>
    <w:rsid w:val="007C7E08"/>
    <w:rsid w:val="007D5872"/>
    <w:rsid w:val="007E6238"/>
    <w:rsid w:val="007F1927"/>
    <w:rsid w:val="007F1E36"/>
    <w:rsid w:val="007F3BA1"/>
    <w:rsid w:val="007F7E4B"/>
    <w:rsid w:val="008059AB"/>
    <w:rsid w:val="00805D5B"/>
    <w:rsid w:val="00820E40"/>
    <w:rsid w:val="008266A3"/>
    <w:rsid w:val="00833AFD"/>
    <w:rsid w:val="00835814"/>
    <w:rsid w:val="00845C85"/>
    <w:rsid w:val="0085106A"/>
    <w:rsid w:val="00853536"/>
    <w:rsid w:val="0086475A"/>
    <w:rsid w:val="008750B2"/>
    <w:rsid w:val="00886A8E"/>
    <w:rsid w:val="00890616"/>
    <w:rsid w:val="00891846"/>
    <w:rsid w:val="008D2E27"/>
    <w:rsid w:val="008D384B"/>
    <w:rsid w:val="008E0C1B"/>
    <w:rsid w:val="008E1B9C"/>
    <w:rsid w:val="008F6CA4"/>
    <w:rsid w:val="00911F2C"/>
    <w:rsid w:val="00914D42"/>
    <w:rsid w:val="00963B3E"/>
    <w:rsid w:val="0097134B"/>
    <w:rsid w:val="0099735E"/>
    <w:rsid w:val="009A1B44"/>
    <w:rsid w:val="009A2C7E"/>
    <w:rsid w:val="009B5527"/>
    <w:rsid w:val="009B6067"/>
    <w:rsid w:val="009C49BE"/>
    <w:rsid w:val="009D06BB"/>
    <w:rsid w:val="009D2141"/>
    <w:rsid w:val="009E3352"/>
    <w:rsid w:val="009E3722"/>
    <w:rsid w:val="009F57DF"/>
    <w:rsid w:val="00A04FF7"/>
    <w:rsid w:val="00A11E12"/>
    <w:rsid w:val="00A27A2B"/>
    <w:rsid w:val="00A34330"/>
    <w:rsid w:val="00A53A9A"/>
    <w:rsid w:val="00A5505F"/>
    <w:rsid w:val="00A5697B"/>
    <w:rsid w:val="00A76B21"/>
    <w:rsid w:val="00A77655"/>
    <w:rsid w:val="00A8314B"/>
    <w:rsid w:val="00A87944"/>
    <w:rsid w:val="00A90DBA"/>
    <w:rsid w:val="00A935E6"/>
    <w:rsid w:val="00A963F6"/>
    <w:rsid w:val="00AA0429"/>
    <w:rsid w:val="00AA092A"/>
    <w:rsid w:val="00AA6C86"/>
    <w:rsid w:val="00AB4AFB"/>
    <w:rsid w:val="00AB5A20"/>
    <w:rsid w:val="00AC30CE"/>
    <w:rsid w:val="00AE0208"/>
    <w:rsid w:val="00AE6F84"/>
    <w:rsid w:val="00AF3977"/>
    <w:rsid w:val="00B009E1"/>
    <w:rsid w:val="00B100D4"/>
    <w:rsid w:val="00B11C25"/>
    <w:rsid w:val="00B158A9"/>
    <w:rsid w:val="00B1624E"/>
    <w:rsid w:val="00B17F71"/>
    <w:rsid w:val="00B22BD2"/>
    <w:rsid w:val="00B257A9"/>
    <w:rsid w:val="00B30CD4"/>
    <w:rsid w:val="00B319E6"/>
    <w:rsid w:val="00B33C6E"/>
    <w:rsid w:val="00B41C37"/>
    <w:rsid w:val="00B42648"/>
    <w:rsid w:val="00B5139B"/>
    <w:rsid w:val="00B514D8"/>
    <w:rsid w:val="00B62E0A"/>
    <w:rsid w:val="00B63568"/>
    <w:rsid w:val="00B7037C"/>
    <w:rsid w:val="00B86563"/>
    <w:rsid w:val="00B9046F"/>
    <w:rsid w:val="00B94E63"/>
    <w:rsid w:val="00BA7A35"/>
    <w:rsid w:val="00BB08F6"/>
    <w:rsid w:val="00BC1D6B"/>
    <w:rsid w:val="00BD534A"/>
    <w:rsid w:val="00BD7B33"/>
    <w:rsid w:val="00BD7FD8"/>
    <w:rsid w:val="00BE2190"/>
    <w:rsid w:val="00BE2434"/>
    <w:rsid w:val="00BF1547"/>
    <w:rsid w:val="00C0006D"/>
    <w:rsid w:val="00C03A17"/>
    <w:rsid w:val="00C07ABF"/>
    <w:rsid w:val="00C10BCF"/>
    <w:rsid w:val="00C116E4"/>
    <w:rsid w:val="00C12788"/>
    <w:rsid w:val="00C13A26"/>
    <w:rsid w:val="00C2241D"/>
    <w:rsid w:val="00C22F59"/>
    <w:rsid w:val="00C242AC"/>
    <w:rsid w:val="00C24672"/>
    <w:rsid w:val="00C27314"/>
    <w:rsid w:val="00C357F8"/>
    <w:rsid w:val="00C42FA3"/>
    <w:rsid w:val="00C46CC0"/>
    <w:rsid w:val="00C66451"/>
    <w:rsid w:val="00C7019E"/>
    <w:rsid w:val="00C70D99"/>
    <w:rsid w:val="00C71726"/>
    <w:rsid w:val="00C81280"/>
    <w:rsid w:val="00C854C6"/>
    <w:rsid w:val="00C85B2E"/>
    <w:rsid w:val="00C9381D"/>
    <w:rsid w:val="00C95E42"/>
    <w:rsid w:val="00C96FC6"/>
    <w:rsid w:val="00CA5334"/>
    <w:rsid w:val="00CC1B3B"/>
    <w:rsid w:val="00CC719C"/>
    <w:rsid w:val="00CD6213"/>
    <w:rsid w:val="00CE5DE5"/>
    <w:rsid w:val="00D021AA"/>
    <w:rsid w:val="00D045D4"/>
    <w:rsid w:val="00D17B6B"/>
    <w:rsid w:val="00D300A5"/>
    <w:rsid w:val="00D4232E"/>
    <w:rsid w:val="00D46C21"/>
    <w:rsid w:val="00D716C4"/>
    <w:rsid w:val="00D77310"/>
    <w:rsid w:val="00D955FA"/>
    <w:rsid w:val="00DA1005"/>
    <w:rsid w:val="00DB0FF5"/>
    <w:rsid w:val="00DC2841"/>
    <w:rsid w:val="00DD0205"/>
    <w:rsid w:val="00DD0BF8"/>
    <w:rsid w:val="00DD7BAE"/>
    <w:rsid w:val="00DE02E1"/>
    <w:rsid w:val="00DE0DAF"/>
    <w:rsid w:val="00DE5A7E"/>
    <w:rsid w:val="00E044C4"/>
    <w:rsid w:val="00E06FAB"/>
    <w:rsid w:val="00E10A6B"/>
    <w:rsid w:val="00E10DF7"/>
    <w:rsid w:val="00E125C2"/>
    <w:rsid w:val="00E24825"/>
    <w:rsid w:val="00E2699B"/>
    <w:rsid w:val="00E37E46"/>
    <w:rsid w:val="00E84283"/>
    <w:rsid w:val="00E948A5"/>
    <w:rsid w:val="00E95E6E"/>
    <w:rsid w:val="00EA654D"/>
    <w:rsid w:val="00EC7319"/>
    <w:rsid w:val="00ED4700"/>
    <w:rsid w:val="00ED7D12"/>
    <w:rsid w:val="00EE7B79"/>
    <w:rsid w:val="00EF0729"/>
    <w:rsid w:val="00EF51B3"/>
    <w:rsid w:val="00EF688D"/>
    <w:rsid w:val="00EF7585"/>
    <w:rsid w:val="00F13C2C"/>
    <w:rsid w:val="00F212FF"/>
    <w:rsid w:val="00F255A3"/>
    <w:rsid w:val="00F31E27"/>
    <w:rsid w:val="00F342D2"/>
    <w:rsid w:val="00F428F3"/>
    <w:rsid w:val="00F448FE"/>
    <w:rsid w:val="00F50237"/>
    <w:rsid w:val="00F54CB8"/>
    <w:rsid w:val="00F6327E"/>
    <w:rsid w:val="00F72759"/>
    <w:rsid w:val="00F7512C"/>
    <w:rsid w:val="00F76D3A"/>
    <w:rsid w:val="00F8320A"/>
    <w:rsid w:val="00F92B47"/>
    <w:rsid w:val="00FA444C"/>
    <w:rsid w:val="00FB21EC"/>
    <w:rsid w:val="00FB2C47"/>
    <w:rsid w:val="00FB317B"/>
    <w:rsid w:val="00FB4904"/>
    <w:rsid w:val="00FC54E1"/>
    <w:rsid w:val="00FC5983"/>
    <w:rsid w:val="00FD5D3D"/>
    <w:rsid w:val="00FF45BF"/>
    <w:rsid w:val="00FF4CF4"/>
    <w:rsid w:val="00FF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C7CA"/>
  <w15:chartTrackingRefBased/>
  <w15:docId w15:val="{B0F2D5A0-136F-4826-9A0E-A405AAA0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069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069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C228A"/>
    <w:pPr>
      <w:spacing w:after="0" w:line="240" w:lineRule="auto"/>
    </w:pPr>
    <w:rPr>
      <w:sz w:val="20"/>
      <w:szCs w:val="20"/>
    </w:rPr>
  </w:style>
  <w:style w:type="character" w:customStyle="1" w:styleId="FootnoteTextChar">
    <w:name w:val="Footnote Text Char"/>
    <w:basedOn w:val="DefaultParagraphFont"/>
    <w:link w:val="FootnoteText"/>
    <w:uiPriority w:val="99"/>
    <w:rsid w:val="000C228A"/>
    <w:rPr>
      <w:sz w:val="20"/>
      <w:szCs w:val="20"/>
    </w:rPr>
  </w:style>
  <w:style w:type="character" w:styleId="FootnoteReference">
    <w:name w:val="footnote reference"/>
    <w:basedOn w:val="DefaultParagraphFont"/>
    <w:uiPriority w:val="99"/>
    <w:semiHidden/>
    <w:unhideWhenUsed/>
    <w:rsid w:val="000C228A"/>
    <w:rPr>
      <w:vertAlign w:val="superscript"/>
    </w:rPr>
  </w:style>
  <w:style w:type="character" w:styleId="Hyperlink">
    <w:name w:val="Hyperlink"/>
    <w:basedOn w:val="DefaultParagraphFont"/>
    <w:uiPriority w:val="99"/>
    <w:unhideWhenUsed/>
    <w:rsid w:val="005A3FC6"/>
    <w:rPr>
      <w:color w:val="0563C1" w:themeColor="hyperlink"/>
      <w:u w:val="single"/>
    </w:rPr>
  </w:style>
  <w:style w:type="character" w:styleId="UnresolvedMention">
    <w:name w:val="Unresolved Mention"/>
    <w:basedOn w:val="DefaultParagraphFont"/>
    <w:uiPriority w:val="99"/>
    <w:semiHidden/>
    <w:unhideWhenUsed/>
    <w:rsid w:val="005A3FC6"/>
    <w:rPr>
      <w:color w:val="605E5C"/>
      <w:shd w:val="clear" w:color="auto" w:fill="E1DFDD"/>
    </w:rPr>
  </w:style>
  <w:style w:type="character" w:customStyle="1" w:styleId="Heading3Char">
    <w:name w:val="Heading 3 Char"/>
    <w:basedOn w:val="DefaultParagraphFont"/>
    <w:link w:val="Heading3"/>
    <w:uiPriority w:val="9"/>
    <w:rsid w:val="002069A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069A9"/>
    <w:rPr>
      <w:rFonts w:ascii="Times New Roman" w:eastAsia="Times New Roman" w:hAnsi="Times New Roman" w:cs="Times New Roman"/>
      <w:b/>
      <w:bCs/>
      <w:sz w:val="24"/>
      <w:szCs w:val="24"/>
    </w:rPr>
  </w:style>
  <w:style w:type="paragraph" w:customStyle="1" w:styleId="ng-binding">
    <w:name w:val="ng-binding"/>
    <w:basedOn w:val="Normal"/>
    <w:rsid w:val="00206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ailability-status">
    <w:name w:val="availability-status"/>
    <w:basedOn w:val="DefaultParagraphFont"/>
    <w:rsid w:val="002069A9"/>
  </w:style>
  <w:style w:type="character" w:styleId="CommentReference">
    <w:name w:val="annotation reference"/>
    <w:basedOn w:val="DefaultParagraphFont"/>
    <w:uiPriority w:val="99"/>
    <w:semiHidden/>
    <w:unhideWhenUsed/>
    <w:rsid w:val="00172047"/>
    <w:rPr>
      <w:sz w:val="16"/>
      <w:szCs w:val="16"/>
    </w:rPr>
  </w:style>
  <w:style w:type="paragraph" w:styleId="CommentText">
    <w:name w:val="annotation text"/>
    <w:basedOn w:val="Normal"/>
    <w:link w:val="CommentTextChar"/>
    <w:uiPriority w:val="99"/>
    <w:semiHidden/>
    <w:unhideWhenUsed/>
    <w:rsid w:val="00172047"/>
    <w:pPr>
      <w:spacing w:line="240" w:lineRule="auto"/>
    </w:pPr>
    <w:rPr>
      <w:sz w:val="20"/>
      <w:szCs w:val="20"/>
    </w:rPr>
  </w:style>
  <w:style w:type="character" w:customStyle="1" w:styleId="CommentTextChar">
    <w:name w:val="Comment Text Char"/>
    <w:basedOn w:val="DefaultParagraphFont"/>
    <w:link w:val="CommentText"/>
    <w:uiPriority w:val="99"/>
    <w:semiHidden/>
    <w:rsid w:val="00172047"/>
    <w:rPr>
      <w:sz w:val="20"/>
      <w:szCs w:val="20"/>
    </w:rPr>
  </w:style>
  <w:style w:type="paragraph" w:styleId="CommentSubject">
    <w:name w:val="annotation subject"/>
    <w:basedOn w:val="CommentText"/>
    <w:next w:val="CommentText"/>
    <w:link w:val="CommentSubjectChar"/>
    <w:uiPriority w:val="99"/>
    <w:semiHidden/>
    <w:unhideWhenUsed/>
    <w:rsid w:val="00172047"/>
    <w:rPr>
      <w:b/>
      <w:bCs/>
    </w:rPr>
  </w:style>
  <w:style w:type="character" w:customStyle="1" w:styleId="CommentSubjectChar">
    <w:name w:val="Comment Subject Char"/>
    <w:basedOn w:val="CommentTextChar"/>
    <w:link w:val="CommentSubject"/>
    <w:uiPriority w:val="99"/>
    <w:semiHidden/>
    <w:rsid w:val="00172047"/>
    <w:rPr>
      <w:b/>
      <w:bCs/>
      <w:sz w:val="20"/>
      <w:szCs w:val="20"/>
    </w:rPr>
  </w:style>
  <w:style w:type="paragraph" w:styleId="BalloonText">
    <w:name w:val="Balloon Text"/>
    <w:basedOn w:val="Normal"/>
    <w:link w:val="BalloonTextChar"/>
    <w:uiPriority w:val="99"/>
    <w:semiHidden/>
    <w:unhideWhenUsed/>
    <w:rsid w:val="00172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428043">
      <w:bodyDiv w:val="1"/>
      <w:marLeft w:val="0"/>
      <w:marRight w:val="0"/>
      <w:marTop w:val="0"/>
      <w:marBottom w:val="0"/>
      <w:divBdr>
        <w:top w:val="none" w:sz="0" w:space="0" w:color="auto"/>
        <w:left w:val="none" w:sz="0" w:space="0" w:color="auto"/>
        <w:bottom w:val="none" w:sz="0" w:space="0" w:color="auto"/>
        <w:right w:val="none" w:sz="0" w:space="0" w:color="auto"/>
      </w:divBdr>
    </w:div>
    <w:div w:id="1875843102">
      <w:bodyDiv w:val="1"/>
      <w:marLeft w:val="0"/>
      <w:marRight w:val="0"/>
      <w:marTop w:val="0"/>
      <w:marBottom w:val="0"/>
      <w:divBdr>
        <w:top w:val="none" w:sz="0" w:space="0" w:color="auto"/>
        <w:left w:val="none" w:sz="0" w:space="0" w:color="auto"/>
        <w:bottom w:val="none" w:sz="0" w:space="0" w:color="auto"/>
        <w:right w:val="none" w:sz="0" w:space="0" w:color="auto"/>
      </w:divBdr>
      <w:divsChild>
        <w:div w:id="1238249732">
          <w:marLeft w:val="240"/>
          <w:marRight w:val="0"/>
          <w:marTop w:val="0"/>
          <w:marBottom w:val="240"/>
          <w:divBdr>
            <w:top w:val="none" w:sz="0" w:space="0" w:color="auto"/>
            <w:left w:val="none" w:sz="0" w:space="0" w:color="auto"/>
            <w:bottom w:val="none" w:sz="0" w:space="0" w:color="auto"/>
            <w:right w:val="none" w:sz="0" w:space="0" w:color="auto"/>
          </w:divBdr>
          <w:divsChild>
            <w:div w:id="10212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reykohuang.com/uploads/7/7/5/9/77594542/rgd.zip" TargetMode="External"/><Relationship Id="rId1" Type="http://schemas.openxmlformats.org/officeDocument/2006/relationships/hyperlink" Target="http://eprints.lse.ac.uk/31090/1/GreeSE_No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3EF03-A5F0-45C4-8690-C4705077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4892</TotalTime>
  <Pages>24</Pages>
  <Words>7775</Words>
  <Characters>44322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Knight</dc:creator>
  <cp:keywords/>
  <dc:description/>
  <cp:lastModifiedBy>Adam Knight</cp:lastModifiedBy>
  <cp:revision>193</cp:revision>
  <dcterms:created xsi:type="dcterms:W3CDTF">2019-06-14T17:39:00Z</dcterms:created>
  <dcterms:modified xsi:type="dcterms:W3CDTF">2019-09-11T21:48:00Z</dcterms:modified>
</cp:coreProperties>
</file>